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CC440" w14:textId="5FC01056" w:rsidR="00F118D8" w:rsidRDefault="00465239" w:rsidP="009676E7">
      <w:pPr>
        <w:jc w:val="center"/>
        <w:rPr>
          <w:b/>
          <w:lang w:val="fr-FR"/>
        </w:rPr>
      </w:pPr>
      <w:bookmarkStart w:id="0" w:name="_GoBack"/>
      <w:r>
        <w:rPr>
          <w:b/>
          <w:lang w:val="fr-FR"/>
        </w:rPr>
        <w:t xml:space="preserve">APPEL </w:t>
      </w:r>
      <w:r w:rsidRPr="00465239">
        <w:rPr>
          <w:b/>
          <w:lang w:val="fr-FR"/>
        </w:rPr>
        <w:t>À</w:t>
      </w:r>
      <w:r>
        <w:rPr>
          <w:b/>
          <w:lang w:val="fr-FR"/>
        </w:rPr>
        <w:t xml:space="preserve"> MANIFESTATION</w:t>
      </w:r>
      <w:r w:rsidR="00220D60">
        <w:rPr>
          <w:b/>
          <w:lang w:val="fr-FR"/>
        </w:rPr>
        <w:t>S</w:t>
      </w:r>
      <w:r>
        <w:rPr>
          <w:b/>
          <w:lang w:val="fr-FR"/>
        </w:rPr>
        <w:t xml:space="preserve"> D’INT</w:t>
      </w:r>
      <w:r w:rsidRPr="00465239">
        <w:rPr>
          <w:b/>
          <w:lang w:val="fr-FR"/>
        </w:rPr>
        <w:t>É</w:t>
      </w:r>
      <w:r>
        <w:rPr>
          <w:b/>
          <w:lang w:val="fr-FR"/>
        </w:rPr>
        <w:t>R</w:t>
      </w:r>
      <w:r w:rsidRPr="00465239">
        <w:rPr>
          <w:b/>
          <w:lang w:val="fr-FR"/>
        </w:rPr>
        <w:t>Ê</w:t>
      </w:r>
      <w:r>
        <w:rPr>
          <w:b/>
          <w:lang w:val="fr-FR"/>
        </w:rPr>
        <w:t>T</w:t>
      </w:r>
      <w:r w:rsidR="00220D60">
        <w:rPr>
          <w:b/>
          <w:lang w:val="fr-FR"/>
        </w:rPr>
        <w:t>S</w:t>
      </w:r>
    </w:p>
    <w:p w14:paraId="44C28CD2" w14:textId="6013B473" w:rsidR="00DF419E" w:rsidRPr="002E4940" w:rsidRDefault="00DF419E" w:rsidP="00F118D8">
      <w:pPr>
        <w:jc w:val="both"/>
        <w:rPr>
          <w:b/>
          <w:lang w:val="fr-FR"/>
        </w:rPr>
      </w:pPr>
      <w:r w:rsidRPr="00DF41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Le site </w:t>
      </w:r>
      <w:r w:rsid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du </w:t>
      </w:r>
      <w:r w:rsidR="00CA084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projet </w:t>
      </w:r>
      <w:r w:rsidRPr="00DF419E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est situé à 14,5 km au nord de la ville de Wendou M’Bour, dans la préfecture de Gaoual, dans la région de Boké en République de Guinée (coordonnées 11o31’19 ”et 13o48’30” ouest).</w:t>
      </w:r>
    </w:p>
    <w:p w14:paraId="4DEC80B0" w14:textId="7E668153" w:rsidR="007551A5" w:rsidRDefault="007551A5" w:rsidP="007551A5">
      <w:pPr>
        <w:pStyle w:val="NormalWeb"/>
        <w:shd w:val="clear" w:color="auto" w:fill="FFFFFF"/>
        <w:jc w:val="both"/>
        <w:rPr>
          <w:lang w:val="fr-FR"/>
        </w:rPr>
      </w:pPr>
      <w:r w:rsidRPr="00CA084D">
        <w:rPr>
          <w:lang w:val="fr-FR"/>
        </w:rPr>
        <w:t xml:space="preserve">AMCG développe le projet de bauxite de Koumbia et envisage actuellement d’en extraire 11,0 millions de tonnes par an pour une exploitation débutant au </w:t>
      </w:r>
      <w:r w:rsidR="00EF5E2E" w:rsidRPr="00CA084D">
        <w:rPr>
          <w:lang w:val="fr-FR"/>
        </w:rPr>
        <w:t>quatrième</w:t>
      </w:r>
      <w:r w:rsidRPr="00CA084D">
        <w:rPr>
          <w:lang w:val="fr-FR"/>
        </w:rPr>
        <w:t xml:space="preserve"> trimestre 2020. Le projet est situé́ dans le nord-ouest de la </w:t>
      </w:r>
      <w:r w:rsidR="00EF5E2E" w:rsidRPr="00CA084D">
        <w:rPr>
          <w:lang w:val="fr-FR"/>
        </w:rPr>
        <w:t>République</w:t>
      </w:r>
      <w:r w:rsidRPr="00CA084D">
        <w:rPr>
          <w:lang w:val="fr-FR"/>
        </w:rPr>
        <w:t xml:space="preserve"> de </w:t>
      </w:r>
      <w:r w:rsidR="00EF5E2E" w:rsidRPr="00CA084D">
        <w:rPr>
          <w:lang w:val="fr-FR"/>
        </w:rPr>
        <w:t>Guinée</w:t>
      </w:r>
      <w:r w:rsidRPr="00CA084D">
        <w:rPr>
          <w:lang w:val="fr-FR"/>
        </w:rPr>
        <w:t>. Il est prévu que les travaux de construction du projet débutant au troisième trimestre de 2019 dure</w:t>
      </w:r>
      <w:r>
        <w:rPr>
          <w:lang w:val="fr-FR"/>
        </w:rPr>
        <w:t>n</w:t>
      </w:r>
      <w:r w:rsidRPr="00CA084D">
        <w:rPr>
          <w:lang w:val="fr-FR"/>
        </w:rPr>
        <w:t xml:space="preserve">t entre 15 et 20 mois. </w:t>
      </w:r>
    </w:p>
    <w:p w14:paraId="707357BA" w14:textId="30F3AAAC" w:rsidR="007551A5" w:rsidRDefault="007551A5" w:rsidP="007551A5">
      <w:pPr>
        <w:pStyle w:val="NormalWeb"/>
        <w:shd w:val="clear" w:color="auto" w:fill="FFFFFF"/>
        <w:jc w:val="both"/>
        <w:rPr>
          <w:lang w:val="fr-FR"/>
        </w:rPr>
      </w:pPr>
      <w:r>
        <w:rPr>
          <w:lang w:val="fr-FR"/>
        </w:rPr>
        <w:t>Dans le cadre du projet, des contractants,</w:t>
      </w:r>
      <w:r w:rsidRPr="007551A5">
        <w:rPr>
          <w:lang w:val="fr-FR"/>
        </w:rPr>
        <w:t xml:space="preserve"> fournisseurs</w:t>
      </w:r>
      <w:r>
        <w:rPr>
          <w:lang w:val="fr-FR"/>
        </w:rPr>
        <w:t xml:space="preserve">, </w:t>
      </w:r>
      <w:r w:rsidRPr="007551A5">
        <w:rPr>
          <w:lang w:val="fr-FR"/>
        </w:rPr>
        <w:t>et prestataires de</w:t>
      </w:r>
      <w:r>
        <w:rPr>
          <w:lang w:val="fr-FR"/>
        </w:rPr>
        <w:t xml:space="preserve"> biens et</w:t>
      </w:r>
      <w:r w:rsidRPr="007551A5">
        <w:rPr>
          <w:lang w:val="fr-FR"/>
        </w:rPr>
        <w:t xml:space="preserve"> services </w:t>
      </w:r>
      <w:r>
        <w:rPr>
          <w:lang w:val="fr-FR"/>
        </w:rPr>
        <w:t xml:space="preserve">sont recherchés pour les travaux, biens et services suivants : </w:t>
      </w:r>
    </w:p>
    <w:p w14:paraId="4FFF771C" w14:textId="2F11506E" w:rsidR="009676E7" w:rsidRDefault="009676E7" w:rsidP="009676E7">
      <w:pPr>
        <w:pStyle w:val="NormalWeb"/>
        <w:numPr>
          <w:ilvl w:val="0"/>
          <w:numId w:val="1"/>
        </w:numPr>
        <w:shd w:val="clear" w:color="auto" w:fill="FFFFFF"/>
        <w:jc w:val="both"/>
        <w:rPr>
          <w:b/>
          <w:lang w:val="fr-FR"/>
        </w:rPr>
      </w:pPr>
      <w:r w:rsidRPr="007551A5">
        <w:rPr>
          <w:b/>
          <w:lang w:val="fr-FR"/>
        </w:rPr>
        <w:t>Service</w:t>
      </w:r>
      <w:r w:rsidR="00220D60">
        <w:rPr>
          <w:b/>
          <w:lang w:val="fr-FR"/>
        </w:rPr>
        <w:t>s</w:t>
      </w:r>
      <w:r w:rsidRPr="007551A5">
        <w:rPr>
          <w:b/>
          <w:lang w:val="fr-FR"/>
        </w:rPr>
        <w:t xml:space="preserve"> traiteur</w:t>
      </w:r>
      <w:r w:rsidR="00220D60">
        <w:rPr>
          <w:b/>
          <w:lang w:val="fr-FR"/>
        </w:rPr>
        <w:t>s</w:t>
      </w:r>
    </w:p>
    <w:p w14:paraId="168952B4" w14:textId="46476979" w:rsidR="009676E7" w:rsidRDefault="009676E7" w:rsidP="009676E7">
      <w:pPr>
        <w:pStyle w:val="NormalWeb"/>
        <w:numPr>
          <w:ilvl w:val="0"/>
          <w:numId w:val="1"/>
        </w:numPr>
        <w:shd w:val="clear" w:color="auto" w:fill="FFFFFF"/>
        <w:jc w:val="both"/>
        <w:rPr>
          <w:b/>
          <w:lang w:val="fr-FR"/>
        </w:rPr>
      </w:pPr>
      <w:r>
        <w:rPr>
          <w:b/>
          <w:lang w:val="fr-FR"/>
        </w:rPr>
        <w:t>Service</w:t>
      </w:r>
      <w:r w:rsidR="00220D60">
        <w:rPr>
          <w:b/>
          <w:lang w:val="fr-FR"/>
        </w:rPr>
        <w:t>s</w:t>
      </w:r>
      <w:r>
        <w:rPr>
          <w:b/>
          <w:lang w:val="fr-FR"/>
        </w:rPr>
        <w:t xml:space="preserve"> de nettoyage (juillet 2020 pour le site de la Mine et Octobre 2020 pour le site du port)</w:t>
      </w:r>
    </w:p>
    <w:p w14:paraId="2D367B97" w14:textId="6CB951CD" w:rsidR="009676E7" w:rsidRPr="009676E7" w:rsidRDefault="009676E7" w:rsidP="009676E7">
      <w:pPr>
        <w:pStyle w:val="NormalWeb"/>
        <w:numPr>
          <w:ilvl w:val="0"/>
          <w:numId w:val="1"/>
        </w:numPr>
        <w:shd w:val="clear" w:color="auto" w:fill="FFFFFF"/>
        <w:jc w:val="both"/>
        <w:rPr>
          <w:b/>
          <w:lang w:val="fr-FR"/>
        </w:rPr>
      </w:pPr>
      <w:r w:rsidRPr="00B73884">
        <w:rPr>
          <w:b/>
          <w:lang w:val="fr-FR"/>
        </w:rPr>
        <w:t xml:space="preserve">Services de </w:t>
      </w:r>
      <w:r>
        <w:rPr>
          <w:b/>
          <w:lang w:val="fr-FR"/>
        </w:rPr>
        <w:t xml:space="preserve">transport de minerai et </w:t>
      </w:r>
      <w:r w:rsidRPr="00B73884">
        <w:rPr>
          <w:b/>
          <w:lang w:val="fr-FR"/>
        </w:rPr>
        <w:t xml:space="preserve">transport de marchandises </w:t>
      </w:r>
      <w:r>
        <w:rPr>
          <w:b/>
          <w:lang w:val="fr-FR"/>
        </w:rPr>
        <w:t>(janvier 2021 pour le site de la Mine et juin 2021 pour le site du port)</w:t>
      </w:r>
    </w:p>
    <w:p w14:paraId="1E300C2D" w14:textId="77777777" w:rsidR="009676E7" w:rsidRPr="007551A5" w:rsidRDefault="009676E7" w:rsidP="009676E7">
      <w:pPr>
        <w:pStyle w:val="NormalWeb"/>
        <w:numPr>
          <w:ilvl w:val="0"/>
          <w:numId w:val="1"/>
        </w:numPr>
        <w:shd w:val="clear" w:color="auto" w:fill="FFFFFF"/>
        <w:jc w:val="both"/>
        <w:rPr>
          <w:b/>
          <w:lang w:val="fr-FR"/>
        </w:rPr>
      </w:pPr>
      <w:r w:rsidRPr="007551A5">
        <w:rPr>
          <w:b/>
          <w:lang w:val="fr-FR"/>
        </w:rPr>
        <w:t>Travaux de génie civil, béton et terrassement</w:t>
      </w:r>
    </w:p>
    <w:p w14:paraId="344FD64B" w14:textId="77777777" w:rsidR="009676E7" w:rsidRPr="007551A5" w:rsidRDefault="009676E7" w:rsidP="009676E7">
      <w:pPr>
        <w:pStyle w:val="NormalWeb"/>
        <w:numPr>
          <w:ilvl w:val="0"/>
          <w:numId w:val="1"/>
        </w:numPr>
        <w:shd w:val="clear" w:color="auto" w:fill="FFFFFF"/>
        <w:jc w:val="both"/>
        <w:rPr>
          <w:b/>
          <w:lang w:val="fr-FR"/>
        </w:rPr>
      </w:pPr>
      <w:r w:rsidRPr="007551A5">
        <w:rPr>
          <w:b/>
          <w:lang w:val="fr-FR"/>
        </w:rPr>
        <w:t>Construction</w:t>
      </w:r>
    </w:p>
    <w:p w14:paraId="75DCBAB5" w14:textId="77777777" w:rsidR="009676E7" w:rsidRPr="007551A5" w:rsidRDefault="009676E7" w:rsidP="009676E7">
      <w:pPr>
        <w:pStyle w:val="NormalWeb"/>
        <w:numPr>
          <w:ilvl w:val="0"/>
          <w:numId w:val="1"/>
        </w:numPr>
        <w:shd w:val="clear" w:color="auto" w:fill="FFFFFF"/>
        <w:jc w:val="both"/>
        <w:rPr>
          <w:b/>
          <w:lang w:val="fr-FR"/>
        </w:rPr>
      </w:pPr>
      <w:r w:rsidRPr="007551A5">
        <w:rPr>
          <w:b/>
          <w:lang w:val="fr-FR"/>
        </w:rPr>
        <w:t xml:space="preserve">Matériels électriques </w:t>
      </w:r>
    </w:p>
    <w:p w14:paraId="2FF3AC30" w14:textId="77777777" w:rsidR="009676E7" w:rsidRDefault="009676E7" w:rsidP="009676E7">
      <w:pPr>
        <w:pStyle w:val="NormalWeb"/>
        <w:numPr>
          <w:ilvl w:val="0"/>
          <w:numId w:val="1"/>
        </w:numPr>
        <w:shd w:val="clear" w:color="auto" w:fill="FFFFFF"/>
        <w:jc w:val="both"/>
        <w:rPr>
          <w:b/>
          <w:lang w:val="fr-FR"/>
        </w:rPr>
      </w:pPr>
      <w:r w:rsidRPr="007551A5">
        <w:rPr>
          <w:b/>
          <w:lang w:val="fr-FR"/>
        </w:rPr>
        <w:t xml:space="preserve">Internet </w:t>
      </w:r>
    </w:p>
    <w:p w14:paraId="32217FC9" w14:textId="77777777" w:rsidR="009676E7" w:rsidRDefault="009676E7" w:rsidP="009676E7">
      <w:pPr>
        <w:pStyle w:val="NormalWeb"/>
        <w:numPr>
          <w:ilvl w:val="0"/>
          <w:numId w:val="1"/>
        </w:numPr>
        <w:shd w:val="clear" w:color="auto" w:fill="FFFFFF"/>
        <w:jc w:val="both"/>
        <w:rPr>
          <w:b/>
          <w:lang w:val="fr-FR"/>
        </w:rPr>
      </w:pPr>
      <w:r w:rsidRPr="00B73884">
        <w:rPr>
          <w:b/>
          <w:lang w:val="fr-FR"/>
        </w:rPr>
        <w:t>Services de communications radio bidirectionnelles, y compris établissement et maintenance de réseaux, fourniture de véhicules et appareils portatifs</w:t>
      </w:r>
      <w:r>
        <w:rPr>
          <w:b/>
          <w:lang w:val="fr-FR"/>
        </w:rPr>
        <w:t xml:space="preserve"> (début octobre 2019)</w:t>
      </w:r>
    </w:p>
    <w:p w14:paraId="4A300D66" w14:textId="18CEE30A" w:rsidR="009676E7" w:rsidRDefault="009676E7" w:rsidP="009676E7">
      <w:pPr>
        <w:pStyle w:val="NormalWeb"/>
        <w:numPr>
          <w:ilvl w:val="0"/>
          <w:numId w:val="1"/>
        </w:numPr>
        <w:shd w:val="clear" w:color="auto" w:fill="FFFFFF"/>
        <w:jc w:val="both"/>
        <w:rPr>
          <w:b/>
          <w:lang w:val="fr-FR"/>
        </w:rPr>
      </w:pPr>
      <w:r w:rsidRPr="00B73884">
        <w:rPr>
          <w:b/>
          <w:lang w:val="fr-FR"/>
        </w:rPr>
        <w:t>Services de maintenance divers pour la gestion de l'alimentation en électricité et en eau et pour la maintenance ad hoc de bâtiments et d'installations</w:t>
      </w:r>
      <w:r>
        <w:rPr>
          <w:b/>
          <w:lang w:val="fr-FR"/>
        </w:rPr>
        <w:t xml:space="preserve"> (début décembre 2019)</w:t>
      </w:r>
    </w:p>
    <w:p w14:paraId="22F1E1E5" w14:textId="77777777" w:rsidR="009676E7" w:rsidRPr="007551A5" w:rsidRDefault="009676E7" w:rsidP="009676E7">
      <w:pPr>
        <w:pStyle w:val="NormalWeb"/>
        <w:numPr>
          <w:ilvl w:val="0"/>
          <w:numId w:val="1"/>
        </w:numPr>
        <w:shd w:val="clear" w:color="auto" w:fill="FFFFFF"/>
        <w:jc w:val="both"/>
        <w:rPr>
          <w:b/>
          <w:lang w:val="fr-FR"/>
        </w:rPr>
      </w:pPr>
      <w:r>
        <w:rPr>
          <w:b/>
          <w:lang w:val="fr-FR"/>
        </w:rPr>
        <w:t>Services de sécurité (début juillet 2019)</w:t>
      </w:r>
    </w:p>
    <w:p w14:paraId="3473C677" w14:textId="77777777" w:rsidR="009676E7" w:rsidRPr="007551A5" w:rsidRDefault="009676E7" w:rsidP="009676E7">
      <w:pPr>
        <w:pStyle w:val="NormalWeb"/>
        <w:numPr>
          <w:ilvl w:val="0"/>
          <w:numId w:val="1"/>
        </w:numPr>
        <w:shd w:val="clear" w:color="auto" w:fill="FFFFFF"/>
        <w:jc w:val="both"/>
        <w:rPr>
          <w:b/>
          <w:lang w:val="fr-FR"/>
        </w:rPr>
      </w:pPr>
      <w:r w:rsidRPr="007551A5">
        <w:rPr>
          <w:b/>
          <w:lang w:val="fr-FR"/>
        </w:rPr>
        <w:t xml:space="preserve">Jardinage et aménagement paysager </w:t>
      </w:r>
      <w:r>
        <w:rPr>
          <w:b/>
          <w:lang w:val="fr-FR"/>
        </w:rPr>
        <w:t>(début décembre 2019)</w:t>
      </w:r>
    </w:p>
    <w:p w14:paraId="58918684" w14:textId="77777777" w:rsidR="009676E7" w:rsidRPr="007551A5" w:rsidRDefault="009676E7" w:rsidP="009676E7">
      <w:pPr>
        <w:pStyle w:val="NormalWeb"/>
        <w:numPr>
          <w:ilvl w:val="0"/>
          <w:numId w:val="1"/>
        </w:numPr>
        <w:shd w:val="clear" w:color="auto" w:fill="FFFFFF"/>
        <w:jc w:val="both"/>
        <w:rPr>
          <w:b/>
          <w:lang w:val="fr-FR"/>
        </w:rPr>
      </w:pPr>
      <w:r w:rsidRPr="007551A5">
        <w:rPr>
          <w:b/>
          <w:lang w:val="fr-FR"/>
        </w:rPr>
        <w:t>Peinture</w:t>
      </w:r>
    </w:p>
    <w:p w14:paraId="61E25423" w14:textId="77777777" w:rsidR="009676E7" w:rsidRPr="007551A5" w:rsidRDefault="009676E7" w:rsidP="009676E7">
      <w:pPr>
        <w:pStyle w:val="NormalWeb"/>
        <w:numPr>
          <w:ilvl w:val="0"/>
          <w:numId w:val="1"/>
        </w:numPr>
        <w:shd w:val="clear" w:color="auto" w:fill="FFFFFF"/>
        <w:jc w:val="both"/>
        <w:rPr>
          <w:b/>
          <w:lang w:val="fr-FR"/>
        </w:rPr>
      </w:pPr>
      <w:r w:rsidRPr="007551A5">
        <w:rPr>
          <w:b/>
          <w:lang w:val="fr-FR"/>
        </w:rPr>
        <w:t>Sablage et peinture</w:t>
      </w:r>
    </w:p>
    <w:p w14:paraId="42C2A8EB" w14:textId="3B731F39" w:rsidR="009676E7" w:rsidRPr="007551A5" w:rsidRDefault="009676E7" w:rsidP="009676E7">
      <w:pPr>
        <w:pStyle w:val="NormalWeb"/>
        <w:numPr>
          <w:ilvl w:val="0"/>
          <w:numId w:val="1"/>
        </w:numPr>
        <w:shd w:val="clear" w:color="auto" w:fill="FFFFFF"/>
        <w:jc w:val="both"/>
        <w:rPr>
          <w:b/>
          <w:lang w:val="fr-FR"/>
        </w:rPr>
      </w:pPr>
      <w:r w:rsidRPr="007551A5">
        <w:rPr>
          <w:b/>
          <w:lang w:val="fr-FR"/>
        </w:rPr>
        <w:t>Service</w:t>
      </w:r>
      <w:r w:rsidR="00F54B01">
        <w:rPr>
          <w:b/>
          <w:lang w:val="fr-FR"/>
        </w:rPr>
        <w:t>s</w:t>
      </w:r>
      <w:r w:rsidRPr="007551A5">
        <w:rPr>
          <w:b/>
          <w:lang w:val="fr-FR"/>
        </w:rPr>
        <w:t xml:space="preserve"> de plomberie et de mécanique structurel</w:t>
      </w:r>
    </w:p>
    <w:p w14:paraId="40D70FEB" w14:textId="4A818F6B" w:rsidR="009676E7" w:rsidRPr="007551A5" w:rsidRDefault="009676E7" w:rsidP="009676E7">
      <w:pPr>
        <w:pStyle w:val="NormalWeb"/>
        <w:numPr>
          <w:ilvl w:val="0"/>
          <w:numId w:val="1"/>
        </w:numPr>
        <w:shd w:val="clear" w:color="auto" w:fill="FFFFFF"/>
        <w:jc w:val="both"/>
        <w:rPr>
          <w:b/>
          <w:lang w:val="fr-FR"/>
        </w:rPr>
      </w:pPr>
      <w:r w:rsidRPr="007551A5">
        <w:rPr>
          <w:b/>
          <w:lang w:val="fr-FR"/>
        </w:rPr>
        <w:t>Service</w:t>
      </w:r>
      <w:r w:rsidR="00F54B01">
        <w:rPr>
          <w:b/>
          <w:lang w:val="fr-FR"/>
        </w:rPr>
        <w:t>s</w:t>
      </w:r>
      <w:r w:rsidRPr="007551A5">
        <w:rPr>
          <w:b/>
          <w:lang w:val="fr-FR"/>
        </w:rPr>
        <w:t xml:space="preserve"> de freight</w:t>
      </w:r>
      <w:r>
        <w:rPr>
          <w:b/>
          <w:lang w:val="fr-FR"/>
        </w:rPr>
        <w:t xml:space="preserve"> local (début janvier 2020)</w:t>
      </w:r>
    </w:p>
    <w:p w14:paraId="158A8E54" w14:textId="77777777" w:rsidR="009676E7" w:rsidRDefault="009676E7" w:rsidP="009676E7">
      <w:pPr>
        <w:pStyle w:val="NormalWeb"/>
        <w:numPr>
          <w:ilvl w:val="0"/>
          <w:numId w:val="1"/>
        </w:numPr>
        <w:shd w:val="clear" w:color="auto" w:fill="FFFFFF"/>
        <w:jc w:val="both"/>
        <w:rPr>
          <w:b/>
          <w:lang w:val="fr-FR"/>
        </w:rPr>
      </w:pPr>
      <w:r w:rsidRPr="007551A5">
        <w:rPr>
          <w:b/>
          <w:lang w:val="fr-FR"/>
        </w:rPr>
        <w:t>Services de maintenance divers</w:t>
      </w:r>
    </w:p>
    <w:p w14:paraId="7F82EBD4" w14:textId="77777777" w:rsidR="009676E7" w:rsidRPr="00EF5E2E" w:rsidRDefault="009676E7" w:rsidP="009676E7">
      <w:pPr>
        <w:pStyle w:val="NormalWeb"/>
        <w:numPr>
          <w:ilvl w:val="0"/>
          <w:numId w:val="1"/>
        </w:numPr>
        <w:shd w:val="clear" w:color="auto" w:fill="FFFFFF"/>
        <w:jc w:val="both"/>
        <w:rPr>
          <w:lang w:val="fr-FR"/>
        </w:rPr>
      </w:pPr>
      <w:r>
        <w:rPr>
          <w:b/>
          <w:lang w:val="fr-FR"/>
        </w:rPr>
        <w:t xml:space="preserve">Approvisionnement en carburant diesel pour barges et </w:t>
      </w:r>
      <w:proofErr w:type="spellStart"/>
      <w:r>
        <w:rPr>
          <w:b/>
          <w:lang w:val="fr-FR"/>
        </w:rPr>
        <w:t>trans-shipper</w:t>
      </w:r>
      <w:proofErr w:type="spellEnd"/>
      <w:r>
        <w:rPr>
          <w:b/>
          <w:lang w:val="fr-FR"/>
        </w:rPr>
        <w:t xml:space="preserve"> (début </w:t>
      </w:r>
    </w:p>
    <w:p w14:paraId="4FBCF49B" w14:textId="6D71B543" w:rsidR="009676E7" w:rsidRPr="009676E7" w:rsidRDefault="009676E7" w:rsidP="009676E7">
      <w:pPr>
        <w:pStyle w:val="NormalWeb"/>
        <w:numPr>
          <w:ilvl w:val="0"/>
          <w:numId w:val="1"/>
        </w:numPr>
        <w:shd w:val="clear" w:color="auto" w:fill="FFFFFF"/>
        <w:jc w:val="both"/>
        <w:rPr>
          <w:b/>
          <w:lang w:val="fr-FR"/>
        </w:rPr>
      </w:pPr>
      <w:r w:rsidRPr="003E5DFF">
        <w:rPr>
          <w:b/>
          <w:lang w:val="fr-FR"/>
        </w:rPr>
        <w:t>Services de laboratoires (début août 2020)</w:t>
      </w:r>
    </w:p>
    <w:p w14:paraId="7EF46AD6" w14:textId="1F00C4BD" w:rsidR="009676E7" w:rsidRPr="007551A5" w:rsidRDefault="009676E7" w:rsidP="009676E7">
      <w:pPr>
        <w:pStyle w:val="NormalWeb"/>
        <w:numPr>
          <w:ilvl w:val="0"/>
          <w:numId w:val="1"/>
        </w:numPr>
        <w:shd w:val="clear" w:color="auto" w:fill="FFFFFF"/>
        <w:jc w:val="both"/>
        <w:rPr>
          <w:b/>
          <w:lang w:val="fr-FR"/>
        </w:rPr>
      </w:pPr>
      <w:r w:rsidRPr="009676E7">
        <w:rPr>
          <w:b/>
          <w:lang w:val="fr-FR"/>
        </w:rPr>
        <w:t>Services de maintenance divers pour la gestion de l'alimentation en électricité et en eau et pour la maintenance ad hoc de bâtiments et d'installations</w:t>
      </w:r>
    </w:p>
    <w:p w14:paraId="61E19E46" w14:textId="37F06181" w:rsidR="00F118D8" w:rsidRPr="00F118D8" w:rsidRDefault="00F118D8" w:rsidP="00F118D8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Toutes les parties </w:t>
      </w:r>
      <w:r w:rsidR="007551A5"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intéressées</w:t>
      </w:r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souhaitant collaborer avec AMCG doivent se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pre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́-qualifier en fournissant, via le site Web de la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sociéte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́, des informations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détaillées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sur leur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sociéte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́, leur </w:t>
      </w:r>
      <w:r w:rsidR="009676E7"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expérience</w:t>
      </w:r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et leurs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capacités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, dans le format four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ni : </w:t>
      </w:r>
      <w:hyperlink r:id="rId7" w:history="1">
        <w:r w:rsidRPr="009D015D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val="fr-FR"/>
          </w:rPr>
          <w:t>https://www.amcbauxite.com/fr/notification-de-contrats-en-attente/</w:t>
        </w:r>
      </w:hyperlink>
    </w:p>
    <w:p w14:paraId="6560883B" w14:textId="5AB5CEF3" w:rsidR="00F118D8" w:rsidRPr="00F118D8" w:rsidRDefault="00F118D8" w:rsidP="00F11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</w:pPr>
    </w:p>
    <w:p w14:paraId="2781CFDA" w14:textId="2B373E46" w:rsidR="00F118D8" w:rsidRDefault="00F118D8" w:rsidP="00F11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</w:pPr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Une fois cette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pre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́-qualification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acceptée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par AMCG, les parties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considérées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comme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possédant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l'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expérience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et les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capacités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requises seront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auditées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à la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discrétion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d'AMCG et pourront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être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</w:t>
      </w:r>
      <w:r w:rsidR="00220D60"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lastRenderedPageBreak/>
        <w:t>invitées</w:t>
      </w:r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a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̀ fournir des informations plus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détaillées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, y compris leurs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capacités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financières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et </w:t>
      </w:r>
      <w:r w:rsidR="00F60CFD"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opérationnelles</w:t>
      </w:r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.</w:t>
      </w:r>
    </w:p>
    <w:p w14:paraId="046DAAAF" w14:textId="77777777" w:rsidR="00F118D8" w:rsidRPr="00F118D8" w:rsidRDefault="00F118D8" w:rsidP="00F118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</w:pPr>
    </w:p>
    <w:p w14:paraId="0BE227A2" w14:textId="79B24C9F" w:rsidR="00CA084D" w:rsidRDefault="00F118D8" w:rsidP="00F1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Les parties </w:t>
      </w:r>
      <w:r w:rsidR="00220D60"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sélectionnées</w:t>
      </w:r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seront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invitées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à soumissionner au moyen d'une lettre d'invitation qui accompagnera un dossier d'appel d'offres complet. La lettre d'invitation et le dossier d'appel d'offres contiennent toutes les instructions </w:t>
      </w:r>
      <w:r w:rsidR="00220D60"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nécessaires</w:t>
      </w:r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pour </w:t>
      </w:r>
      <w:r w:rsidR="00220D60"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procéder</w:t>
      </w:r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. Les demandes par courrier </w:t>
      </w:r>
      <w:r w:rsidR="00220D60"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électronique</w:t>
      </w:r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uniquement doivent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être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</w:t>
      </w:r>
      <w:r w:rsidR="00220D60"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adressées</w:t>
      </w:r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a</w:t>
      </w:r>
      <w:proofErr w:type="spellEnd"/>
      <w:r w:rsidRPr="00F118D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val="fr-FR"/>
        </w:rPr>
        <w:t>̀ commercial@amcbauxite.com.</w:t>
      </w:r>
    </w:p>
    <w:p w14:paraId="59E00F19" w14:textId="222D8B9A" w:rsidR="00CA084D" w:rsidRPr="00DF419E" w:rsidRDefault="00CA084D" w:rsidP="00F118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169D9873" w14:textId="48514B5E" w:rsidR="00A75E0B" w:rsidRDefault="00A75E0B" w:rsidP="00F118D8">
      <w:pPr>
        <w:jc w:val="both"/>
        <w:rPr>
          <w:lang w:val="fr-FR"/>
        </w:rPr>
      </w:pPr>
    </w:p>
    <w:p w14:paraId="19B71444" w14:textId="4B563376" w:rsidR="00EF5E2E" w:rsidRPr="00EF5E2E" w:rsidRDefault="00EF5E2E" w:rsidP="003E5DFF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EF5E2E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bookmarkEnd w:id="0"/>
    <w:p w14:paraId="3FB27DD6" w14:textId="57AECCD1" w:rsidR="00EF5E2E" w:rsidRPr="00DF419E" w:rsidRDefault="00EF5E2E" w:rsidP="00F118D8">
      <w:pPr>
        <w:jc w:val="both"/>
        <w:rPr>
          <w:lang w:val="fr-FR"/>
        </w:rPr>
      </w:pPr>
    </w:p>
    <w:sectPr w:rsidR="00EF5E2E" w:rsidRPr="00DF419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F17EE" w14:textId="77777777" w:rsidR="007E242E" w:rsidRDefault="007E242E" w:rsidP="003E5DFF">
      <w:pPr>
        <w:spacing w:after="0" w:line="240" w:lineRule="auto"/>
      </w:pPr>
      <w:r>
        <w:separator/>
      </w:r>
    </w:p>
  </w:endnote>
  <w:endnote w:type="continuationSeparator" w:id="0">
    <w:p w14:paraId="21046F33" w14:textId="77777777" w:rsidR="007E242E" w:rsidRDefault="007E242E" w:rsidP="003E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A0DD5" w14:textId="77777777" w:rsidR="007E242E" w:rsidRDefault="007E242E" w:rsidP="003E5DFF">
      <w:pPr>
        <w:spacing w:after="0" w:line="240" w:lineRule="auto"/>
      </w:pPr>
      <w:r>
        <w:separator/>
      </w:r>
    </w:p>
  </w:footnote>
  <w:footnote w:type="continuationSeparator" w:id="0">
    <w:p w14:paraId="5B188D16" w14:textId="77777777" w:rsidR="007E242E" w:rsidRDefault="007E242E" w:rsidP="003E5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12D20" w14:textId="5F4E760D" w:rsidR="009676E7" w:rsidRDefault="009676E7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399E9CA3" wp14:editId="041F6B22">
          <wp:simplePos x="0" y="0"/>
          <wp:positionH relativeFrom="column">
            <wp:posOffset>-804805</wp:posOffset>
          </wp:positionH>
          <wp:positionV relativeFrom="paragraph">
            <wp:posOffset>-437362</wp:posOffset>
          </wp:positionV>
          <wp:extent cx="2277598" cy="831890"/>
          <wp:effectExtent l="0" t="0" r="0" b="0"/>
          <wp:wrapNone/>
          <wp:docPr id="2" name="Picture 1">
            <a:extLst xmlns:a="http://schemas.openxmlformats.org/drawingml/2006/main">
              <a:ext uri="{FF2B5EF4-FFF2-40B4-BE49-F238E27FC236}">
                <a16:creationId xmlns:a16="http://schemas.microsoft.com/office/drawing/2014/main" id="{9A4809FB-CA15-4C50-9FAE-1D9CD50EE1E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9A4809FB-CA15-4C50-9FAE-1D9CD50EE1E7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598" cy="83189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369F2C" w14:textId="5E96EEA7" w:rsidR="003E5DFF" w:rsidRDefault="003E5DF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2D9"/>
    <w:multiLevelType w:val="hybridMultilevel"/>
    <w:tmpl w:val="A13C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FD"/>
    <w:rsid w:val="000E4DD6"/>
    <w:rsid w:val="00220D60"/>
    <w:rsid w:val="002E4940"/>
    <w:rsid w:val="002F6D13"/>
    <w:rsid w:val="00307AF7"/>
    <w:rsid w:val="003A3C25"/>
    <w:rsid w:val="003E5DFF"/>
    <w:rsid w:val="003F7C64"/>
    <w:rsid w:val="004358FC"/>
    <w:rsid w:val="00465239"/>
    <w:rsid w:val="004B592A"/>
    <w:rsid w:val="005C04FD"/>
    <w:rsid w:val="00697E3E"/>
    <w:rsid w:val="006F60B2"/>
    <w:rsid w:val="007551A5"/>
    <w:rsid w:val="007E242E"/>
    <w:rsid w:val="008738AE"/>
    <w:rsid w:val="008E2CE2"/>
    <w:rsid w:val="009676E7"/>
    <w:rsid w:val="009D36AD"/>
    <w:rsid w:val="00A75E0B"/>
    <w:rsid w:val="00B73884"/>
    <w:rsid w:val="00C6699E"/>
    <w:rsid w:val="00CA084D"/>
    <w:rsid w:val="00D5265B"/>
    <w:rsid w:val="00DF419E"/>
    <w:rsid w:val="00E87574"/>
    <w:rsid w:val="00EF5E2E"/>
    <w:rsid w:val="00F118D8"/>
    <w:rsid w:val="00F51640"/>
    <w:rsid w:val="00F54B01"/>
    <w:rsid w:val="00F6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0E1A8"/>
  <w15:chartTrackingRefBased/>
  <w15:docId w15:val="{82082D55-B3F2-4CC6-8EC3-0C4A4118B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F4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F419E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A0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F118D8"/>
    <w:rPr>
      <w:color w:val="0000FF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118D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F5E2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6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76E7"/>
  </w:style>
  <w:style w:type="paragraph" w:styleId="Pieddepage">
    <w:name w:val="footer"/>
    <w:basedOn w:val="Normal"/>
    <w:link w:val="PieddepageCar"/>
    <w:uiPriority w:val="99"/>
    <w:unhideWhenUsed/>
    <w:rsid w:val="00967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7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mcbauxite.com/fr/notification-de-contrats-en-atten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2591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DRA Mineral Projects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Liddiard (ZA)</dc:creator>
  <cp:keywords/>
  <dc:description/>
  <cp:lastModifiedBy>Aboubacar_Diallo</cp:lastModifiedBy>
  <cp:revision>2</cp:revision>
  <dcterms:created xsi:type="dcterms:W3CDTF">2019-07-18T16:39:00Z</dcterms:created>
  <dcterms:modified xsi:type="dcterms:W3CDTF">2019-07-18T16:39:00Z</dcterms:modified>
</cp:coreProperties>
</file>