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F8D97" w14:textId="37A26EDA" w:rsidR="00E767C5" w:rsidRDefault="005757A4" w:rsidP="00FE65D1">
      <w:bookmarkStart w:id="0" w:name="_GoBack"/>
      <w:r>
        <w:tab/>
      </w:r>
    </w:p>
    <w:p w14:paraId="0CF7AD2E" w14:textId="77777777" w:rsidR="00E767C5" w:rsidRDefault="00E767C5">
      <w:pPr>
        <w:jc w:val="both"/>
      </w:pPr>
    </w:p>
    <w:p w14:paraId="14BB7097" w14:textId="77777777" w:rsidR="00E767C5" w:rsidRDefault="00E767C5">
      <w:pPr>
        <w:jc w:val="both"/>
      </w:pPr>
    </w:p>
    <w:p w14:paraId="75DB1124" w14:textId="77777777" w:rsidR="00E767C5" w:rsidRDefault="00E767C5">
      <w:pPr>
        <w:jc w:val="both"/>
      </w:pPr>
    </w:p>
    <w:p w14:paraId="702D8C6F" w14:textId="77777777" w:rsidR="00E767C5" w:rsidRDefault="00E767C5">
      <w:pPr>
        <w:jc w:val="both"/>
      </w:pPr>
    </w:p>
    <w:p w14:paraId="1E716FFE" w14:textId="77777777" w:rsidR="00E767C5" w:rsidRDefault="00E767C5">
      <w:pPr>
        <w:jc w:val="both"/>
        <w:rPr>
          <w:rFonts w:ascii="Cambria" w:hAnsi="Cambria"/>
          <w:b/>
          <w:sz w:val="24"/>
          <w:szCs w:val="24"/>
        </w:rPr>
      </w:pPr>
    </w:p>
    <w:p w14:paraId="00E22BE2" w14:textId="77777777" w:rsidR="00E767C5" w:rsidRDefault="00A1754E">
      <w:pPr>
        <w:spacing w:before="100" w:beforeAutospacing="1" w:after="100" w:afterAutospacing="1" w:line="240" w:lineRule="auto"/>
        <w:jc w:val="center"/>
        <w:rPr>
          <w:rFonts w:ascii="Elephant" w:eastAsia="Times New Roman" w:hAnsi="Elephant" w:cs="Times New Roman"/>
          <w:b/>
          <w:bCs/>
          <w:color w:val="000000"/>
          <w:sz w:val="32"/>
          <w:szCs w:val="32"/>
          <w:lang w:eastAsia="fr-FR"/>
        </w:rPr>
      </w:pPr>
      <w:r>
        <w:rPr>
          <w:rFonts w:ascii="Elephant" w:eastAsia="Times New Roman" w:hAnsi="Elephant" w:cs="Times New Roman"/>
          <w:b/>
          <w:sz w:val="32"/>
          <w:szCs w:val="32"/>
          <w:lang w:eastAsia="fr-FR"/>
        </w:rPr>
        <w:t xml:space="preserve">Collectif des ONG de défense des droits des communautés (COD-DC) pour l’accompagnement des reformes relatives à </w:t>
      </w:r>
      <w:r>
        <w:rPr>
          <w:rFonts w:ascii="Elephant" w:hAnsi="Elephant" w:cs="Arial"/>
          <w:b/>
          <w:color w:val="000000"/>
          <w:sz w:val="32"/>
          <w:szCs w:val="32"/>
        </w:rPr>
        <w:t>la compensation, l’indemnisation et la réinstallation des communautés impactées par les projets de développement en Guinée</w:t>
      </w:r>
    </w:p>
    <w:p w14:paraId="7FBA30F3" w14:textId="77777777" w:rsidR="00E767C5" w:rsidRDefault="00E767C5">
      <w:pPr>
        <w:pStyle w:val="Heading3"/>
        <w:spacing w:before="133" w:line="240" w:lineRule="auto"/>
        <w:jc w:val="center"/>
        <w:rPr>
          <w:rFonts w:ascii="Cambria" w:eastAsia="Times New Roman" w:hAnsi="Cambria" w:cs="Times New Roman"/>
          <w:b w:val="0"/>
          <w:bCs w:val="0"/>
          <w:sz w:val="36"/>
          <w:szCs w:val="36"/>
          <w:lang w:val="fr-FR" w:eastAsia="fr-FR"/>
        </w:rPr>
      </w:pPr>
    </w:p>
    <w:p w14:paraId="24F4CECB" w14:textId="77777777" w:rsidR="00E767C5" w:rsidRDefault="00E767C5">
      <w:pPr>
        <w:pStyle w:val="Heading3"/>
        <w:spacing w:before="133" w:line="240" w:lineRule="auto"/>
        <w:jc w:val="both"/>
        <w:rPr>
          <w:rFonts w:ascii="Cambria" w:eastAsia="Times New Roman" w:hAnsi="Cambria" w:cs="Times New Roman"/>
          <w:b w:val="0"/>
          <w:bCs w:val="0"/>
          <w:sz w:val="32"/>
          <w:szCs w:val="32"/>
          <w:lang w:val="fr-FR" w:eastAsia="fr-FR"/>
        </w:rPr>
      </w:pPr>
    </w:p>
    <w:p w14:paraId="5EAE1225" w14:textId="77777777" w:rsidR="00E767C5" w:rsidRDefault="00E767C5">
      <w:pPr>
        <w:pStyle w:val="Heading3"/>
        <w:spacing w:before="133" w:line="240" w:lineRule="auto"/>
        <w:jc w:val="both"/>
        <w:rPr>
          <w:rFonts w:ascii="Cambria" w:eastAsia="Times New Roman" w:hAnsi="Cambria" w:cs="Times New Roman"/>
          <w:b w:val="0"/>
          <w:bCs w:val="0"/>
          <w:sz w:val="32"/>
          <w:szCs w:val="32"/>
          <w:lang w:val="fr-FR" w:eastAsia="fr-FR"/>
        </w:rPr>
      </w:pPr>
    </w:p>
    <w:p w14:paraId="56FAEB75" w14:textId="77777777" w:rsidR="00E767C5" w:rsidRDefault="00E767C5">
      <w:pPr>
        <w:pStyle w:val="Heading3"/>
        <w:spacing w:before="133" w:line="240" w:lineRule="auto"/>
        <w:jc w:val="both"/>
        <w:rPr>
          <w:rFonts w:ascii="Cambria" w:eastAsia="Times New Roman" w:hAnsi="Cambria" w:cs="Times New Roman"/>
          <w:b w:val="0"/>
          <w:bCs w:val="0"/>
          <w:sz w:val="32"/>
          <w:szCs w:val="32"/>
          <w:lang w:val="fr-FR" w:eastAsia="fr-FR"/>
        </w:rPr>
      </w:pPr>
    </w:p>
    <w:p w14:paraId="7327D56C" w14:textId="77777777" w:rsidR="00E767C5" w:rsidRDefault="00E767C5">
      <w:pPr>
        <w:pStyle w:val="Heading3"/>
        <w:spacing w:before="133" w:line="240" w:lineRule="auto"/>
        <w:jc w:val="both"/>
        <w:rPr>
          <w:rFonts w:ascii="Cambria" w:eastAsia="Times New Roman" w:hAnsi="Cambria" w:cs="Times New Roman"/>
          <w:b w:val="0"/>
          <w:bCs w:val="0"/>
          <w:sz w:val="32"/>
          <w:szCs w:val="32"/>
          <w:lang w:val="fr-FR" w:eastAsia="fr-FR"/>
        </w:rPr>
      </w:pPr>
    </w:p>
    <w:p w14:paraId="5A337BFB" w14:textId="77777777" w:rsidR="00E767C5" w:rsidRDefault="00E767C5">
      <w:pPr>
        <w:pStyle w:val="Heading3"/>
        <w:spacing w:before="133" w:line="240" w:lineRule="auto"/>
        <w:jc w:val="both"/>
        <w:rPr>
          <w:rFonts w:ascii="Cambria" w:eastAsia="Times New Roman" w:hAnsi="Cambria" w:cs="Times New Roman"/>
          <w:bCs w:val="0"/>
          <w:i/>
          <w:sz w:val="32"/>
          <w:szCs w:val="32"/>
          <w:lang w:val="fr-FR" w:eastAsia="fr-FR"/>
        </w:rPr>
      </w:pPr>
    </w:p>
    <w:p w14:paraId="04282DD2" w14:textId="77777777" w:rsidR="00E767C5" w:rsidRDefault="00A1754E">
      <w:pPr>
        <w:pStyle w:val="Heading3"/>
        <w:spacing w:before="133" w:line="240" w:lineRule="auto"/>
        <w:jc w:val="center"/>
        <w:rPr>
          <w:rFonts w:ascii="Arial Black" w:eastAsia="Times New Roman" w:hAnsi="Arial Black" w:cs="Times New Roman"/>
          <w:b w:val="0"/>
          <w:bCs w:val="0"/>
          <w:sz w:val="48"/>
          <w:szCs w:val="48"/>
          <w:lang w:val="fr-FR" w:eastAsia="fr-FR"/>
        </w:rPr>
        <w:sectPr w:rsidR="00E767C5">
          <w:headerReference w:type="default" r:id="rId9"/>
          <w:footerReference w:type="default" r:id="rId10"/>
          <w:pgSz w:w="11900" w:h="16840"/>
          <w:pgMar w:top="1520" w:right="1260" w:bottom="980" w:left="1280" w:header="720" w:footer="782" w:gutter="0"/>
          <w:pgNumType w:start="1"/>
          <w:cols w:space="720"/>
        </w:sectPr>
      </w:pPr>
      <w:r>
        <w:rPr>
          <w:rFonts w:ascii="Arial Black" w:eastAsia="Times New Roman" w:hAnsi="Arial Black" w:cs="Times New Roman"/>
          <w:bCs w:val="0"/>
          <w:i/>
          <w:sz w:val="48"/>
          <w:szCs w:val="48"/>
          <w:lang w:val="fr-FR" w:eastAsia="fr-FR"/>
        </w:rPr>
        <w:t xml:space="preserve">Termes de Référence pour le recrutement d’un consultant juriste guinéen </w:t>
      </w:r>
    </w:p>
    <w:p w14:paraId="14727868" w14:textId="77777777" w:rsidR="00E767C5" w:rsidRDefault="00E767C5">
      <w:pPr>
        <w:jc w:val="both"/>
      </w:pPr>
    </w:p>
    <w:p w14:paraId="0681DA38" w14:textId="77777777" w:rsidR="00E767C5" w:rsidRDefault="00A1754E">
      <w:pPr>
        <w:pStyle w:val="ListParagraph"/>
        <w:numPr>
          <w:ilvl w:val="0"/>
          <w:numId w:val="2"/>
        </w:numPr>
        <w:autoSpaceDE w:val="0"/>
        <w:autoSpaceDN w:val="0"/>
        <w:adjustRightInd w:val="0"/>
        <w:jc w:val="both"/>
        <w:rPr>
          <w:rFonts w:cs="Calibri"/>
          <w:b/>
          <w:color w:val="000000"/>
          <w:sz w:val="24"/>
          <w:szCs w:val="24"/>
        </w:rPr>
      </w:pPr>
      <w:r>
        <w:rPr>
          <w:rFonts w:cs="Calibri"/>
          <w:b/>
          <w:color w:val="000000"/>
          <w:sz w:val="24"/>
          <w:szCs w:val="24"/>
        </w:rPr>
        <w:t>CONTEXTE</w:t>
      </w:r>
    </w:p>
    <w:p w14:paraId="3E9D3ECE" w14:textId="77777777" w:rsidR="00E767C5" w:rsidRDefault="00A1754E">
      <w:pPr>
        <w:pStyle w:val="ListParagraph"/>
        <w:rPr>
          <w:rFonts w:cs="Calibri"/>
          <w:sz w:val="24"/>
          <w:szCs w:val="24"/>
        </w:rPr>
      </w:pPr>
      <w:r>
        <w:rPr>
          <w:rFonts w:cs="Calibri"/>
          <w:sz w:val="24"/>
          <w:szCs w:val="24"/>
        </w:rPr>
        <w:t xml:space="preserve">La  Guinée  dispose  des ressources naturelles considérables au niveau de l’ensemble des régions éco-géographiques. Ses atouts agro-climatiques sont aussi importants que des pluies abondantes, des disponibilités foncières et des températures douces. </w:t>
      </w:r>
    </w:p>
    <w:p w14:paraId="317F41F9" w14:textId="77777777" w:rsidR="00E767C5" w:rsidRDefault="00E767C5">
      <w:pPr>
        <w:pStyle w:val="ListParagraph"/>
        <w:rPr>
          <w:rFonts w:cs="Calibri"/>
          <w:sz w:val="24"/>
          <w:szCs w:val="24"/>
        </w:rPr>
      </w:pPr>
    </w:p>
    <w:p w14:paraId="7A12BED3" w14:textId="77777777" w:rsidR="00E767C5" w:rsidRDefault="00A1754E">
      <w:pPr>
        <w:pStyle w:val="ListParagraph"/>
        <w:rPr>
          <w:rFonts w:cs="Calibri"/>
          <w:sz w:val="24"/>
          <w:szCs w:val="24"/>
        </w:rPr>
      </w:pPr>
      <w:r>
        <w:rPr>
          <w:rFonts w:cs="Calibri"/>
          <w:sz w:val="24"/>
          <w:szCs w:val="24"/>
        </w:rPr>
        <w:t>Autant de facteurs qui offrent d’importantes possibilités pour le développement d’une gamme variée d’activités agro-Sylvio-pastorales et halieutiques.</w:t>
      </w:r>
    </w:p>
    <w:p w14:paraId="3C2FAEE5" w14:textId="77777777" w:rsidR="00E767C5" w:rsidRDefault="00A1754E">
      <w:pPr>
        <w:pStyle w:val="Default"/>
        <w:spacing w:after="240"/>
        <w:ind w:left="720"/>
        <w:jc w:val="both"/>
        <w:rPr>
          <w:rFonts w:ascii="Calibri" w:hAnsi="Calibri" w:cs="Calibri"/>
          <w:color w:val="auto"/>
        </w:rPr>
      </w:pPr>
      <w:r>
        <w:rPr>
          <w:rFonts w:ascii="Calibri" w:hAnsi="Calibri" w:cs="Calibri"/>
          <w:color w:val="auto"/>
        </w:rPr>
        <w:t xml:space="preserve">L’agriculture guinéenne est largement dominée par des exploitations de type familial qui concernent environ 60% de la population et occupent environ 95% des terres agricoles du pays. </w:t>
      </w:r>
    </w:p>
    <w:p w14:paraId="0C5565FB" w14:textId="77777777" w:rsidR="00E767C5" w:rsidRDefault="00A1754E">
      <w:pPr>
        <w:pStyle w:val="ListParagraph"/>
        <w:autoSpaceDE w:val="0"/>
        <w:autoSpaceDN w:val="0"/>
        <w:adjustRightInd w:val="0"/>
        <w:spacing w:after="0" w:line="240" w:lineRule="auto"/>
        <w:rPr>
          <w:rFonts w:cs="Calibri"/>
          <w:sz w:val="24"/>
          <w:szCs w:val="24"/>
        </w:rPr>
      </w:pPr>
      <w:r>
        <w:rPr>
          <w:rFonts w:cs="Calibri"/>
          <w:sz w:val="24"/>
          <w:szCs w:val="24"/>
        </w:rPr>
        <w:t xml:space="preserve">Les investissements privés restent insuffisant pour impulser une forte dynamique de transformation et de la croissance du secteur Agricole. Cette insuffisance fait que les productions végétales, animales, halieutiques et forestières du pays demeurent faiblement compétitives sur les marchés mondiaux. </w:t>
      </w:r>
    </w:p>
    <w:p w14:paraId="4335F90B" w14:textId="77777777" w:rsidR="00E767C5" w:rsidRDefault="00E767C5">
      <w:pPr>
        <w:pStyle w:val="ListParagraph"/>
        <w:autoSpaceDE w:val="0"/>
        <w:autoSpaceDN w:val="0"/>
        <w:adjustRightInd w:val="0"/>
        <w:spacing w:after="0" w:line="240" w:lineRule="auto"/>
        <w:rPr>
          <w:rFonts w:cs="Calibri"/>
          <w:sz w:val="24"/>
          <w:szCs w:val="24"/>
        </w:rPr>
      </w:pPr>
    </w:p>
    <w:p w14:paraId="089FF0F1" w14:textId="77777777" w:rsidR="00E767C5" w:rsidRDefault="00A1754E">
      <w:pPr>
        <w:pStyle w:val="ListParagraph"/>
        <w:jc w:val="both"/>
        <w:rPr>
          <w:rFonts w:cs="Calibri"/>
          <w:sz w:val="24"/>
          <w:szCs w:val="24"/>
        </w:rPr>
      </w:pPr>
      <w:r>
        <w:rPr>
          <w:rFonts w:cs="Calibri"/>
          <w:sz w:val="24"/>
          <w:szCs w:val="24"/>
        </w:rPr>
        <w:t xml:space="preserve">Le secteur peine aussi à mettre à contribution ses potentialités pour résorber le chômage des jeunes et offrir aux femmes de larges opportunités d'entreprendre dans les divers maillons des chaines de valeur. </w:t>
      </w:r>
    </w:p>
    <w:p w14:paraId="7AEB0E23" w14:textId="77777777" w:rsidR="00E767C5" w:rsidRDefault="00A1754E">
      <w:pPr>
        <w:pStyle w:val="ListParagraph"/>
        <w:jc w:val="both"/>
        <w:rPr>
          <w:rFonts w:cs="Calibri"/>
          <w:sz w:val="24"/>
          <w:szCs w:val="24"/>
        </w:rPr>
      </w:pPr>
      <w:r>
        <w:rPr>
          <w:rFonts w:cs="Calibri"/>
          <w:sz w:val="24"/>
          <w:szCs w:val="24"/>
        </w:rPr>
        <w:t>Cette situation s’explique par l’insuffisance et la vétusté des textes législatifs et réglementaires permettant aux acteurs tant nationaux qu’étrangers de s’engager efficacement dans le secteur agricole.</w:t>
      </w:r>
    </w:p>
    <w:p w14:paraId="268A4496" w14:textId="77777777" w:rsidR="00E767C5" w:rsidRDefault="00A1754E">
      <w:pPr>
        <w:pStyle w:val="ListParagraph"/>
        <w:jc w:val="both"/>
        <w:rPr>
          <w:rFonts w:cs="Calibri"/>
          <w:sz w:val="24"/>
          <w:szCs w:val="24"/>
        </w:rPr>
      </w:pPr>
      <w:r>
        <w:rPr>
          <w:rFonts w:cs="Calibri"/>
          <w:sz w:val="24"/>
          <w:szCs w:val="24"/>
        </w:rPr>
        <w:t xml:space="preserve">A ce jour, avec les nouvelles orientations de la politique agricole du régime actuel privilégiant une agriculture intensive et à grande échelle, le Ministère de l’agriculture a élaboré en 2019 un projet de loi dite Loi d’Orientation Agricole (LOA). </w:t>
      </w:r>
    </w:p>
    <w:p w14:paraId="2175E950" w14:textId="38B37E50" w:rsidR="00E767C5" w:rsidRDefault="00A1754E">
      <w:pPr>
        <w:pStyle w:val="ListParagraph"/>
        <w:jc w:val="both"/>
        <w:rPr>
          <w:rFonts w:cs="Calibri"/>
          <w:sz w:val="24"/>
          <w:szCs w:val="24"/>
        </w:rPr>
      </w:pPr>
      <w:r>
        <w:rPr>
          <w:rFonts w:cs="Calibri"/>
          <w:sz w:val="24"/>
          <w:szCs w:val="24"/>
        </w:rPr>
        <w:t xml:space="preserve">Cette Loi ouvrant le secteur agricole aux capitaux étrangers (multinationales) favorisera l’exploitation à grande échelle et pourrait, si des dispositions idoines ne sont pas prises, étouffer voire faire disparaitre l’agriculture </w:t>
      </w:r>
      <w:r w:rsidR="00F97CC8" w:rsidRPr="008C55A5">
        <w:rPr>
          <w:rFonts w:cs="Calibri"/>
          <w:color w:val="FF0000"/>
          <w:sz w:val="24"/>
          <w:szCs w:val="24"/>
        </w:rPr>
        <w:t xml:space="preserve">familiale </w:t>
      </w:r>
      <w:r w:rsidR="00A76575">
        <w:rPr>
          <w:rFonts w:cs="Calibri"/>
          <w:sz w:val="24"/>
          <w:szCs w:val="24"/>
        </w:rPr>
        <w:t>(</w:t>
      </w:r>
      <w:r>
        <w:rPr>
          <w:rFonts w:cs="Calibri"/>
          <w:sz w:val="24"/>
          <w:szCs w:val="24"/>
        </w:rPr>
        <w:t>individuelle ou collective</w:t>
      </w:r>
      <w:r w:rsidR="00A76575">
        <w:rPr>
          <w:rFonts w:cs="Calibri"/>
          <w:sz w:val="24"/>
          <w:szCs w:val="24"/>
        </w:rPr>
        <w:t xml:space="preserve">) </w:t>
      </w:r>
      <w:r>
        <w:rPr>
          <w:rFonts w:cs="Calibri"/>
          <w:sz w:val="24"/>
          <w:szCs w:val="24"/>
        </w:rPr>
        <w:t xml:space="preserve"> et ce, à travers l’accaparement massif des terres. Ce qui, du coup, violerait les droits humains des communautés à l’accès à la terre et serait en contradiction avec les directives volontaires pour la gouvernance foncière responsable.</w:t>
      </w:r>
    </w:p>
    <w:p w14:paraId="43846C17" w14:textId="77777777" w:rsidR="00E767C5" w:rsidRDefault="00A1754E">
      <w:pPr>
        <w:pStyle w:val="ListParagraph"/>
        <w:jc w:val="both"/>
        <w:rPr>
          <w:rFonts w:cs="Calibri"/>
          <w:sz w:val="24"/>
          <w:szCs w:val="24"/>
        </w:rPr>
      </w:pPr>
      <w:r>
        <w:rPr>
          <w:rFonts w:cs="Calibri"/>
          <w:sz w:val="24"/>
          <w:szCs w:val="24"/>
        </w:rPr>
        <w:t xml:space="preserve">Raison pour laquelle tous les acteurs concernés notamment les organisations de la société civile (OSC) et les communautés paysannes, doivent être impliquées dans le processus d’élaboration et d’adoption de cette loi  afin qu’elle intègre les aspects liés aux droits humains et normes internationales pour une meilleure protection des communautés rurales du pays. </w:t>
      </w:r>
    </w:p>
    <w:p w14:paraId="4A3399E1" w14:textId="77777777" w:rsidR="00E767C5" w:rsidRDefault="00A1754E">
      <w:pPr>
        <w:pStyle w:val="ListParagraph"/>
        <w:jc w:val="both"/>
        <w:rPr>
          <w:rFonts w:cs="Calibri"/>
          <w:sz w:val="24"/>
          <w:szCs w:val="24"/>
        </w:rPr>
      </w:pPr>
      <w:r>
        <w:rPr>
          <w:rFonts w:cs="Calibri"/>
          <w:sz w:val="24"/>
          <w:szCs w:val="24"/>
        </w:rPr>
        <w:t xml:space="preserve">C’est ainsi que le Collectif des ONG pour la défense des droits des communautés (COD-DC) qui accompagne les réformes juridiques relatives au processus de </w:t>
      </w:r>
      <w:r>
        <w:rPr>
          <w:rFonts w:cs="Calibri"/>
          <w:sz w:val="24"/>
          <w:szCs w:val="24"/>
        </w:rPr>
        <w:lastRenderedPageBreak/>
        <w:t xml:space="preserve">compensation, d’indemnisation et de réinstallation des communautés depuis sa création en Mars </w:t>
      </w:r>
    </w:p>
    <w:p w14:paraId="38A31951" w14:textId="77777777" w:rsidR="00E767C5" w:rsidRDefault="00E767C5">
      <w:pPr>
        <w:pStyle w:val="ListParagraph"/>
        <w:jc w:val="both"/>
        <w:rPr>
          <w:rFonts w:cs="Calibri"/>
          <w:sz w:val="24"/>
          <w:szCs w:val="24"/>
        </w:rPr>
      </w:pPr>
    </w:p>
    <w:p w14:paraId="640F0454" w14:textId="77777777" w:rsidR="00E767C5" w:rsidRDefault="00E767C5">
      <w:pPr>
        <w:pStyle w:val="ListParagraph"/>
        <w:jc w:val="both"/>
        <w:rPr>
          <w:rFonts w:cs="Calibri"/>
          <w:sz w:val="24"/>
          <w:szCs w:val="24"/>
        </w:rPr>
      </w:pPr>
    </w:p>
    <w:p w14:paraId="2F25E46E" w14:textId="77777777" w:rsidR="00E767C5" w:rsidRDefault="00A1754E">
      <w:pPr>
        <w:pStyle w:val="ListParagraph"/>
        <w:jc w:val="both"/>
        <w:rPr>
          <w:rFonts w:cs="Calibri"/>
          <w:sz w:val="24"/>
          <w:szCs w:val="24"/>
        </w:rPr>
      </w:pPr>
      <w:r>
        <w:rPr>
          <w:rFonts w:cs="Calibri"/>
          <w:sz w:val="24"/>
          <w:szCs w:val="24"/>
        </w:rPr>
        <w:t>2018, a inclus dans son plan d’action 2020 l’accompagnement du processus d’élaboration et d’adoption de cette loi sous forme de projet.</w:t>
      </w:r>
    </w:p>
    <w:p w14:paraId="5BB9289A" w14:textId="77777777" w:rsidR="00E767C5" w:rsidRDefault="00A1754E">
      <w:pPr>
        <w:pStyle w:val="ListParagraph"/>
        <w:jc w:val="both"/>
        <w:rPr>
          <w:rFonts w:cs="Calibri"/>
          <w:sz w:val="24"/>
          <w:szCs w:val="24"/>
        </w:rPr>
      </w:pPr>
      <w:r>
        <w:rPr>
          <w:rFonts w:cs="Calibri"/>
          <w:sz w:val="24"/>
          <w:szCs w:val="24"/>
        </w:rPr>
        <w:t>Le Collectif en collaboration avec des partenaires locaux a procédé à des analyses de la première version de cette loi dont les conclusions sont consignées dans un document.</w:t>
      </w:r>
    </w:p>
    <w:p w14:paraId="69577136" w14:textId="77777777" w:rsidR="00E767C5" w:rsidRDefault="00A1754E">
      <w:pPr>
        <w:pStyle w:val="ListParagraph"/>
        <w:jc w:val="both"/>
        <w:rPr>
          <w:rFonts w:cs="Calibri"/>
          <w:sz w:val="24"/>
          <w:szCs w:val="24"/>
        </w:rPr>
      </w:pPr>
      <w:r>
        <w:rPr>
          <w:rFonts w:cs="Calibri"/>
          <w:sz w:val="24"/>
          <w:szCs w:val="24"/>
        </w:rPr>
        <w:t>Il envisage l’élaboration d’une note technique devant contenir les inquiétudes, les recommandations globales du Collectif, les   slogans et autres termes de plaidoyer.</w:t>
      </w:r>
    </w:p>
    <w:p w14:paraId="5A9F1994" w14:textId="77777777" w:rsidR="00E767C5" w:rsidRDefault="00E767C5">
      <w:pPr>
        <w:pStyle w:val="ListParagraph"/>
        <w:jc w:val="both"/>
        <w:rPr>
          <w:rFonts w:cs="Calibri"/>
          <w:sz w:val="24"/>
          <w:szCs w:val="24"/>
        </w:rPr>
      </w:pPr>
    </w:p>
    <w:p w14:paraId="24A5315D" w14:textId="3642741A" w:rsidR="00E767C5" w:rsidRDefault="00A1754E">
      <w:pPr>
        <w:pStyle w:val="ListParagraph"/>
        <w:jc w:val="both"/>
        <w:rPr>
          <w:rFonts w:cs="Calibri"/>
          <w:strike/>
          <w:sz w:val="24"/>
          <w:szCs w:val="24"/>
        </w:rPr>
      </w:pPr>
      <w:r w:rsidRPr="005757A4">
        <w:rPr>
          <w:rFonts w:cs="Calibri"/>
          <w:sz w:val="24"/>
          <w:szCs w:val="24"/>
        </w:rPr>
        <w:t>C’est dans ce contexte que le Collectif entreprend le recrutement d’un consultant juriste guinéen pour amender le</w:t>
      </w:r>
      <w:r w:rsidR="005757A4" w:rsidRPr="005757A4">
        <w:rPr>
          <w:rFonts w:cs="Calibri"/>
          <w:sz w:val="24"/>
          <w:szCs w:val="24"/>
        </w:rPr>
        <w:t>s</w:t>
      </w:r>
      <w:r w:rsidRPr="005757A4">
        <w:rPr>
          <w:rFonts w:cs="Calibri"/>
          <w:sz w:val="24"/>
          <w:szCs w:val="24"/>
        </w:rPr>
        <w:t xml:space="preserve"> document</w:t>
      </w:r>
      <w:r w:rsidR="005757A4" w:rsidRPr="005757A4">
        <w:rPr>
          <w:rFonts w:cs="Calibri"/>
          <w:sz w:val="24"/>
          <w:szCs w:val="24"/>
        </w:rPr>
        <w:t>s</w:t>
      </w:r>
      <w:r w:rsidRPr="005757A4">
        <w:rPr>
          <w:rFonts w:cs="Calibri"/>
          <w:sz w:val="24"/>
          <w:szCs w:val="24"/>
        </w:rPr>
        <w:t xml:space="preserve"> </w:t>
      </w:r>
      <w:r w:rsidR="005757A4" w:rsidRPr="005757A4">
        <w:rPr>
          <w:rFonts w:cs="Calibri"/>
          <w:sz w:val="24"/>
          <w:szCs w:val="24"/>
        </w:rPr>
        <w:t>de plaidoyer du collectif.</w:t>
      </w:r>
    </w:p>
    <w:p w14:paraId="70637428" w14:textId="77777777" w:rsidR="00E767C5" w:rsidRDefault="00E767C5">
      <w:pPr>
        <w:pStyle w:val="ListParagraph"/>
        <w:jc w:val="both"/>
        <w:rPr>
          <w:rFonts w:cs="Calibri"/>
          <w:sz w:val="24"/>
          <w:szCs w:val="24"/>
        </w:rPr>
      </w:pPr>
    </w:p>
    <w:p w14:paraId="326C054A" w14:textId="0BE1CF56" w:rsidR="00E767C5" w:rsidRDefault="00A1754E">
      <w:pPr>
        <w:pStyle w:val="ListParagraph"/>
        <w:numPr>
          <w:ilvl w:val="0"/>
          <w:numId w:val="2"/>
        </w:numPr>
        <w:autoSpaceDE w:val="0"/>
        <w:autoSpaceDN w:val="0"/>
        <w:adjustRightInd w:val="0"/>
        <w:jc w:val="both"/>
        <w:rPr>
          <w:rFonts w:cs="Calibri"/>
          <w:color w:val="000000"/>
          <w:sz w:val="24"/>
          <w:szCs w:val="24"/>
        </w:rPr>
      </w:pPr>
      <w:r>
        <w:rPr>
          <w:rFonts w:cs="Calibri"/>
          <w:b/>
          <w:color w:val="000000"/>
          <w:sz w:val="24"/>
          <w:szCs w:val="24"/>
        </w:rPr>
        <w:t>OBJECTIF</w:t>
      </w:r>
      <w:r w:rsidR="002D234D">
        <w:rPr>
          <w:rFonts w:cs="Calibri"/>
          <w:b/>
          <w:color w:val="000000"/>
          <w:sz w:val="24"/>
          <w:szCs w:val="24"/>
        </w:rPr>
        <w:t>S</w:t>
      </w:r>
      <w:r>
        <w:rPr>
          <w:rFonts w:cs="Calibri"/>
          <w:b/>
          <w:color w:val="000000"/>
          <w:sz w:val="24"/>
          <w:szCs w:val="24"/>
        </w:rPr>
        <w:t xml:space="preserve">  </w:t>
      </w:r>
    </w:p>
    <w:p w14:paraId="3CB9DABB" w14:textId="5D5E704F" w:rsidR="007678CD" w:rsidRDefault="00A1754E">
      <w:pPr>
        <w:autoSpaceDE w:val="0"/>
        <w:autoSpaceDN w:val="0"/>
        <w:adjustRightInd w:val="0"/>
        <w:jc w:val="both"/>
        <w:rPr>
          <w:rFonts w:cs="Calibri"/>
          <w:color w:val="000000"/>
          <w:sz w:val="24"/>
          <w:szCs w:val="24"/>
        </w:rPr>
      </w:pPr>
      <w:r w:rsidRPr="005757A4">
        <w:rPr>
          <w:rFonts w:cs="Calibri"/>
          <w:color w:val="000000"/>
          <w:sz w:val="24"/>
          <w:szCs w:val="24"/>
        </w:rPr>
        <w:t>Le but</w:t>
      </w:r>
      <w:r>
        <w:rPr>
          <w:rFonts w:cs="Calibri"/>
          <w:color w:val="000000"/>
          <w:sz w:val="24"/>
          <w:szCs w:val="24"/>
        </w:rPr>
        <w:t xml:space="preserve"> de cette consultation est d’appuyer le collectif d’ONG à obtenir des documents de plaidoyer conformes à la législation guinéenne et internationale en matière de promotion et de protection des droits de l’homme en général et ceux des communautés paysannes guinéennes particulièrement </w:t>
      </w:r>
      <w:r w:rsidR="007678CD">
        <w:rPr>
          <w:rFonts w:cs="Calibri"/>
          <w:color w:val="000000"/>
          <w:sz w:val="24"/>
          <w:szCs w:val="24"/>
        </w:rPr>
        <w:t>il s’agit de</w:t>
      </w:r>
      <w:r w:rsidR="009A5C1A">
        <w:rPr>
          <w:rFonts w:cs="Calibri"/>
          <w:color w:val="000000"/>
          <w:sz w:val="24"/>
          <w:szCs w:val="24"/>
        </w:rPr>
        <w:t xml:space="preserve"> faire</w:t>
      </w:r>
      <w:r w:rsidR="007678CD">
        <w:rPr>
          <w:rFonts w:cs="Calibri"/>
          <w:color w:val="000000"/>
          <w:sz w:val="24"/>
          <w:szCs w:val="24"/>
        </w:rPr>
        <w:t> :</w:t>
      </w:r>
    </w:p>
    <w:p w14:paraId="14DEC063" w14:textId="2B5151D4" w:rsidR="007678CD" w:rsidRPr="005757A4" w:rsidRDefault="009A5C1A" w:rsidP="007678CD">
      <w:pPr>
        <w:pStyle w:val="ListParagraph"/>
        <w:numPr>
          <w:ilvl w:val="0"/>
          <w:numId w:val="20"/>
        </w:numPr>
        <w:autoSpaceDE w:val="0"/>
        <w:autoSpaceDN w:val="0"/>
        <w:adjustRightInd w:val="0"/>
        <w:jc w:val="both"/>
        <w:rPr>
          <w:rFonts w:cs="Calibri"/>
          <w:sz w:val="24"/>
          <w:szCs w:val="24"/>
          <w:highlight w:val="yellow"/>
        </w:rPr>
      </w:pPr>
      <w:r>
        <w:rPr>
          <w:rFonts w:cs="Calibri"/>
          <w:sz w:val="24"/>
          <w:szCs w:val="24"/>
        </w:rPr>
        <w:t xml:space="preserve">Une </w:t>
      </w:r>
      <w:r w:rsidR="007678CD" w:rsidRPr="007678CD">
        <w:rPr>
          <w:rFonts w:cs="Calibri"/>
          <w:sz w:val="24"/>
          <w:szCs w:val="24"/>
        </w:rPr>
        <w:t>analyse</w:t>
      </w:r>
      <w:r w:rsidR="00A1754E" w:rsidRPr="007678CD">
        <w:rPr>
          <w:rFonts w:cs="Calibri"/>
          <w:sz w:val="24"/>
          <w:szCs w:val="24"/>
        </w:rPr>
        <w:t xml:space="preserve"> </w:t>
      </w:r>
      <w:r w:rsidRPr="005757A4">
        <w:rPr>
          <w:rFonts w:cs="Calibri"/>
          <w:sz w:val="24"/>
          <w:szCs w:val="24"/>
          <w:highlight w:val="yellow"/>
        </w:rPr>
        <w:t>approfondie</w:t>
      </w:r>
      <w:r>
        <w:rPr>
          <w:rFonts w:cs="Calibri"/>
          <w:sz w:val="24"/>
          <w:szCs w:val="24"/>
        </w:rPr>
        <w:t xml:space="preserve"> </w:t>
      </w:r>
      <w:r w:rsidR="00A1754E" w:rsidRPr="007678CD">
        <w:rPr>
          <w:rFonts w:cs="Calibri"/>
          <w:sz w:val="24"/>
          <w:szCs w:val="24"/>
        </w:rPr>
        <w:t>des documents du point de vue des droits des communautés surtout en matière d’accès à la terre</w:t>
      </w:r>
      <w:r w:rsidR="00F0619A">
        <w:rPr>
          <w:rFonts w:cs="Calibri"/>
          <w:sz w:val="24"/>
          <w:szCs w:val="24"/>
        </w:rPr>
        <w:t xml:space="preserve"> et sa</w:t>
      </w:r>
      <w:r w:rsidR="00A76575" w:rsidRPr="005757A4">
        <w:rPr>
          <w:rFonts w:cs="Calibri"/>
          <w:sz w:val="24"/>
          <w:szCs w:val="24"/>
          <w:highlight w:val="yellow"/>
        </w:rPr>
        <w:t xml:space="preserve"> sécurisation</w:t>
      </w:r>
      <w:r w:rsidR="005757A4">
        <w:rPr>
          <w:rFonts w:cs="Calibri"/>
          <w:sz w:val="24"/>
          <w:szCs w:val="24"/>
          <w:highlight w:val="yellow"/>
        </w:rPr>
        <w:t xml:space="preserve"> </w:t>
      </w:r>
      <w:r w:rsidR="00F0619A">
        <w:rPr>
          <w:rFonts w:cs="Calibri"/>
          <w:sz w:val="24"/>
          <w:szCs w:val="24"/>
          <w:highlight w:val="yellow"/>
        </w:rPr>
        <w:t>ainsi que la</w:t>
      </w:r>
      <w:r w:rsidR="005757A4">
        <w:rPr>
          <w:rFonts w:cs="Calibri"/>
          <w:sz w:val="24"/>
          <w:szCs w:val="24"/>
          <w:highlight w:val="yellow"/>
        </w:rPr>
        <w:t xml:space="preserve"> </w:t>
      </w:r>
      <w:r w:rsidR="00C40E87" w:rsidRPr="005757A4">
        <w:rPr>
          <w:rFonts w:cs="Calibri"/>
          <w:sz w:val="24"/>
          <w:szCs w:val="24"/>
          <w:highlight w:val="yellow"/>
        </w:rPr>
        <w:t>promotion et valorisation des semences paysannes</w:t>
      </w:r>
      <w:r w:rsidR="00F0619A">
        <w:rPr>
          <w:rFonts w:cs="Calibri"/>
          <w:sz w:val="24"/>
          <w:szCs w:val="24"/>
          <w:highlight w:val="yellow"/>
        </w:rPr>
        <w:t>.</w:t>
      </w:r>
    </w:p>
    <w:p w14:paraId="7513AAF1" w14:textId="4F307553" w:rsidR="00E767C5" w:rsidRPr="007678CD" w:rsidRDefault="00A1754E" w:rsidP="007678CD">
      <w:pPr>
        <w:pStyle w:val="ListParagraph"/>
        <w:numPr>
          <w:ilvl w:val="0"/>
          <w:numId w:val="20"/>
        </w:numPr>
        <w:autoSpaceDE w:val="0"/>
        <w:autoSpaceDN w:val="0"/>
        <w:adjustRightInd w:val="0"/>
        <w:jc w:val="both"/>
        <w:rPr>
          <w:rFonts w:cs="Calibri"/>
          <w:color w:val="000000"/>
          <w:sz w:val="24"/>
          <w:szCs w:val="24"/>
        </w:rPr>
      </w:pPr>
      <w:r w:rsidRPr="007678CD">
        <w:rPr>
          <w:rFonts w:cs="Calibri"/>
          <w:sz w:val="24"/>
          <w:szCs w:val="24"/>
        </w:rPr>
        <w:t xml:space="preserve"> </w:t>
      </w:r>
      <w:r w:rsidR="007678CD" w:rsidRPr="00F0619A">
        <w:rPr>
          <w:rFonts w:cs="Calibri"/>
          <w:sz w:val="24"/>
          <w:szCs w:val="24"/>
        </w:rPr>
        <w:t>Le</w:t>
      </w:r>
      <w:r w:rsidRPr="00F0619A">
        <w:rPr>
          <w:rFonts w:cs="Calibri"/>
          <w:sz w:val="24"/>
          <w:szCs w:val="24"/>
        </w:rPr>
        <w:t xml:space="preserve"> développement</w:t>
      </w:r>
      <w:r w:rsidRPr="007678CD">
        <w:rPr>
          <w:rFonts w:cs="Calibri"/>
          <w:sz w:val="24"/>
          <w:szCs w:val="24"/>
        </w:rPr>
        <w:t xml:space="preserve"> </w:t>
      </w:r>
      <w:r w:rsidR="00F0619A">
        <w:rPr>
          <w:rFonts w:cs="Calibri"/>
          <w:sz w:val="24"/>
          <w:szCs w:val="24"/>
        </w:rPr>
        <w:t xml:space="preserve">et la proposition </w:t>
      </w:r>
      <w:r w:rsidRPr="007678CD">
        <w:rPr>
          <w:rFonts w:cs="Calibri"/>
          <w:sz w:val="24"/>
          <w:szCs w:val="24"/>
        </w:rPr>
        <w:t xml:space="preserve">des recommandations concrètes permettant au Collectif </w:t>
      </w:r>
      <w:r w:rsidR="009A5C1A" w:rsidRPr="00F0619A">
        <w:rPr>
          <w:rFonts w:cs="Calibri"/>
          <w:sz w:val="24"/>
          <w:szCs w:val="24"/>
          <w:highlight w:val="yellow"/>
        </w:rPr>
        <w:t>d’élaborer</w:t>
      </w:r>
      <w:r w:rsidR="009A5C1A">
        <w:rPr>
          <w:rFonts w:cs="Calibri"/>
          <w:sz w:val="24"/>
          <w:szCs w:val="24"/>
        </w:rPr>
        <w:t xml:space="preserve"> et </w:t>
      </w:r>
      <w:r w:rsidR="007678CD" w:rsidRPr="007678CD">
        <w:rPr>
          <w:rFonts w:cs="Calibri"/>
          <w:sz w:val="24"/>
          <w:szCs w:val="24"/>
        </w:rPr>
        <w:t>d’exécuter son</w:t>
      </w:r>
      <w:r w:rsidRPr="007678CD">
        <w:rPr>
          <w:rFonts w:cs="Calibri"/>
          <w:sz w:val="24"/>
          <w:szCs w:val="24"/>
        </w:rPr>
        <w:t xml:space="preserve"> projet de plaidoyer pour la prise en compte des préoccupations des paysans et de la société civile. </w:t>
      </w:r>
    </w:p>
    <w:p w14:paraId="0E91CF33" w14:textId="77777777" w:rsidR="00E767C5" w:rsidRDefault="00A1754E">
      <w:pPr>
        <w:autoSpaceDE w:val="0"/>
        <w:autoSpaceDN w:val="0"/>
        <w:adjustRightInd w:val="0"/>
        <w:jc w:val="both"/>
        <w:rPr>
          <w:rFonts w:cs="Calibri"/>
          <w:b/>
          <w:color w:val="000000"/>
          <w:sz w:val="24"/>
          <w:szCs w:val="24"/>
        </w:rPr>
      </w:pPr>
      <w:r>
        <w:rPr>
          <w:rFonts w:cs="Calibri"/>
          <w:b/>
          <w:color w:val="000000"/>
          <w:sz w:val="24"/>
          <w:szCs w:val="24"/>
        </w:rPr>
        <w:t xml:space="preserve">LES ETAPES DE LA CONSULTATION </w:t>
      </w:r>
    </w:p>
    <w:p w14:paraId="0AC67D85" w14:textId="77777777" w:rsidR="00E767C5" w:rsidRDefault="00A1754E">
      <w:pPr>
        <w:widowControl w:val="0"/>
        <w:autoSpaceDE w:val="0"/>
        <w:autoSpaceDN w:val="0"/>
        <w:adjustRightInd w:val="0"/>
        <w:spacing w:after="176" w:line="283" w:lineRule="atLeast"/>
        <w:ind w:right="100"/>
        <w:jc w:val="both"/>
        <w:rPr>
          <w:rFonts w:cs="Calibri"/>
          <w:color w:val="000000"/>
          <w:sz w:val="24"/>
          <w:szCs w:val="24"/>
        </w:rPr>
      </w:pPr>
      <w:r>
        <w:rPr>
          <w:rFonts w:cs="Calibri"/>
          <w:color w:val="000000"/>
          <w:sz w:val="24"/>
          <w:szCs w:val="24"/>
        </w:rPr>
        <w:t xml:space="preserve">Il s’agira spécifiquement de :  </w:t>
      </w:r>
    </w:p>
    <w:p w14:paraId="7BCA0E4F" w14:textId="0AE646C1" w:rsidR="00E767C5" w:rsidRDefault="00A1754E">
      <w:pPr>
        <w:pStyle w:val="ListParagraph"/>
        <w:widowControl w:val="0"/>
        <w:numPr>
          <w:ilvl w:val="0"/>
          <w:numId w:val="13"/>
        </w:numPr>
        <w:autoSpaceDE w:val="0"/>
        <w:autoSpaceDN w:val="0"/>
        <w:adjustRightInd w:val="0"/>
        <w:spacing w:after="176" w:line="283" w:lineRule="atLeast"/>
        <w:ind w:right="100"/>
        <w:jc w:val="both"/>
        <w:rPr>
          <w:rFonts w:cs="Calibri"/>
          <w:color w:val="000000"/>
          <w:sz w:val="24"/>
          <w:szCs w:val="24"/>
        </w:rPr>
      </w:pPr>
      <w:r>
        <w:rPr>
          <w:rFonts w:cs="Calibri"/>
          <w:color w:val="000000"/>
          <w:sz w:val="24"/>
          <w:szCs w:val="24"/>
        </w:rPr>
        <w:t>Faire la Revue documentaire du document des analyses</w:t>
      </w:r>
      <w:r w:rsidR="00F0619A">
        <w:rPr>
          <w:rFonts w:cs="Calibri"/>
          <w:color w:val="000000"/>
          <w:sz w:val="24"/>
          <w:szCs w:val="24"/>
        </w:rPr>
        <w:t xml:space="preserve"> et da la note technique</w:t>
      </w:r>
      <w:r>
        <w:rPr>
          <w:rFonts w:cs="Calibri"/>
          <w:color w:val="000000"/>
          <w:sz w:val="24"/>
          <w:szCs w:val="24"/>
        </w:rPr>
        <w:t xml:space="preserve"> </w:t>
      </w:r>
      <w:r w:rsidR="00F0619A">
        <w:rPr>
          <w:rFonts w:cs="Calibri"/>
          <w:color w:val="000000"/>
          <w:sz w:val="24"/>
          <w:szCs w:val="24"/>
        </w:rPr>
        <w:t>par rapport à</w:t>
      </w:r>
      <w:r>
        <w:rPr>
          <w:rFonts w:cs="Calibri"/>
          <w:color w:val="000000"/>
          <w:sz w:val="24"/>
          <w:szCs w:val="24"/>
        </w:rPr>
        <w:t xml:space="preserve"> la LOA en vue d’apporter des amendements ;</w:t>
      </w:r>
    </w:p>
    <w:p w14:paraId="74D15632" w14:textId="77777777" w:rsidR="00E767C5" w:rsidRPr="00F0619A" w:rsidRDefault="00A1754E" w:rsidP="00F0619A">
      <w:pPr>
        <w:pStyle w:val="ListParagraph"/>
        <w:widowControl w:val="0"/>
        <w:numPr>
          <w:ilvl w:val="0"/>
          <w:numId w:val="13"/>
        </w:numPr>
        <w:autoSpaceDE w:val="0"/>
        <w:autoSpaceDN w:val="0"/>
        <w:adjustRightInd w:val="0"/>
        <w:spacing w:after="176" w:line="283" w:lineRule="atLeast"/>
        <w:ind w:right="100"/>
        <w:jc w:val="both"/>
        <w:rPr>
          <w:rFonts w:cs="Calibri"/>
          <w:color w:val="000000"/>
          <w:sz w:val="24"/>
          <w:szCs w:val="24"/>
        </w:rPr>
      </w:pPr>
      <w:r w:rsidRPr="00F0619A">
        <w:rPr>
          <w:rFonts w:cs="Calibri"/>
          <w:color w:val="000000"/>
          <w:sz w:val="24"/>
          <w:szCs w:val="24"/>
        </w:rPr>
        <w:t>Faire l'analyse du cadre légal guinéen, des normes et standards régionaux et internationaux et leur comparaison avec les documents de plaidoyer du Collectif afin de créer une harmonie entre ceux-ci ;</w:t>
      </w:r>
    </w:p>
    <w:p w14:paraId="52C43B32" w14:textId="3FA622DF" w:rsidR="00A864FF" w:rsidRDefault="00A1754E">
      <w:pPr>
        <w:pStyle w:val="ListParagraph"/>
        <w:widowControl w:val="0"/>
        <w:numPr>
          <w:ilvl w:val="0"/>
          <w:numId w:val="13"/>
        </w:numPr>
        <w:autoSpaceDE w:val="0"/>
        <w:autoSpaceDN w:val="0"/>
        <w:adjustRightInd w:val="0"/>
        <w:spacing w:after="176" w:line="283" w:lineRule="atLeast"/>
        <w:ind w:right="100"/>
        <w:rPr>
          <w:rFonts w:cs="Calibri"/>
          <w:color w:val="000000"/>
          <w:sz w:val="24"/>
          <w:szCs w:val="24"/>
        </w:rPr>
      </w:pPr>
      <w:r>
        <w:rPr>
          <w:rFonts w:cs="Calibri"/>
          <w:color w:val="000000"/>
          <w:sz w:val="24"/>
          <w:szCs w:val="24"/>
        </w:rPr>
        <w:t>Proposer tout autre amendement et instrument pertinents pour le plaidoyer.</w:t>
      </w:r>
    </w:p>
    <w:p w14:paraId="674CBFA9" w14:textId="77777777" w:rsidR="00E767C5" w:rsidRDefault="00E767C5">
      <w:pPr>
        <w:pStyle w:val="ListParagraph"/>
        <w:autoSpaceDE w:val="0"/>
        <w:autoSpaceDN w:val="0"/>
        <w:adjustRightInd w:val="0"/>
        <w:jc w:val="both"/>
        <w:rPr>
          <w:rFonts w:cs="Calibri"/>
          <w:b/>
          <w:color w:val="000000"/>
          <w:sz w:val="24"/>
          <w:szCs w:val="24"/>
        </w:rPr>
      </w:pPr>
    </w:p>
    <w:p w14:paraId="06619FBF" w14:textId="77777777" w:rsidR="00E767C5" w:rsidRDefault="00A1754E">
      <w:pPr>
        <w:pStyle w:val="ListParagraph"/>
        <w:numPr>
          <w:ilvl w:val="0"/>
          <w:numId w:val="2"/>
        </w:numPr>
        <w:autoSpaceDE w:val="0"/>
        <w:autoSpaceDN w:val="0"/>
        <w:adjustRightInd w:val="0"/>
        <w:jc w:val="both"/>
        <w:rPr>
          <w:rFonts w:cs="Calibri"/>
          <w:b/>
          <w:color w:val="000000"/>
          <w:sz w:val="24"/>
          <w:szCs w:val="24"/>
        </w:rPr>
      </w:pPr>
      <w:r>
        <w:rPr>
          <w:rFonts w:cs="Calibri"/>
          <w:b/>
          <w:color w:val="000000"/>
          <w:sz w:val="24"/>
          <w:szCs w:val="24"/>
        </w:rPr>
        <w:t xml:space="preserve">RESULTATS ATTENDUS </w:t>
      </w:r>
    </w:p>
    <w:p w14:paraId="6A3A24B2" w14:textId="77777777" w:rsidR="00E767C5" w:rsidRDefault="00A1754E">
      <w:pPr>
        <w:widowControl w:val="0"/>
        <w:autoSpaceDE w:val="0"/>
        <w:autoSpaceDN w:val="0"/>
        <w:adjustRightInd w:val="0"/>
        <w:spacing w:after="0" w:line="283" w:lineRule="atLeast"/>
        <w:ind w:right="100"/>
        <w:jc w:val="both"/>
        <w:rPr>
          <w:rFonts w:cs="Calibri"/>
          <w:color w:val="000000"/>
          <w:sz w:val="24"/>
          <w:szCs w:val="24"/>
        </w:rPr>
      </w:pPr>
      <w:r>
        <w:rPr>
          <w:rFonts w:cs="Calibri"/>
          <w:color w:val="000000"/>
          <w:sz w:val="24"/>
          <w:szCs w:val="24"/>
        </w:rPr>
        <w:t>Les résultats attendus de cette consultation sont :</w:t>
      </w:r>
    </w:p>
    <w:p w14:paraId="539EB759" w14:textId="70BC2297" w:rsidR="00E767C5" w:rsidRDefault="00A1754E">
      <w:pPr>
        <w:pStyle w:val="ListParagraph"/>
        <w:widowControl w:val="0"/>
        <w:numPr>
          <w:ilvl w:val="0"/>
          <w:numId w:val="19"/>
        </w:numPr>
        <w:autoSpaceDE w:val="0"/>
        <w:autoSpaceDN w:val="0"/>
        <w:adjustRightInd w:val="0"/>
        <w:spacing w:after="176" w:line="283" w:lineRule="atLeast"/>
        <w:ind w:right="100"/>
        <w:jc w:val="both"/>
        <w:rPr>
          <w:rFonts w:cs="Calibri"/>
          <w:color w:val="000000"/>
          <w:sz w:val="24"/>
          <w:szCs w:val="24"/>
        </w:rPr>
      </w:pPr>
      <w:r>
        <w:rPr>
          <w:rFonts w:cs="Calibri"/>
          <w:color w:val="000000"/>
          <w:sz w:val="24"/>
          <w:szCs w:val="24"/>
        </w:rPr>
        <w:t>Le document d</w:t>
      </w:r>
      <w:r w:rsidR="00C52168">
        <w:rPr>
          <w:rFonts w:cs="Calibri"/>
          <w:color w:val="000000"/>
          <w:sz w:val="24"/>
          <w:szCs w:val="24"/>
        </w:rPr>
        <w:t>’</w:t>
      </w:r>
      <w:r>
        <w:rPr>
          <w:rFonts w:cs="Calibri"/>
          <w:color w:val="000000"/>
          <w:sz w:val="24"/>
          <w:szCs w:val="24"/>
        </w:rPr>
        <w:t xml:space="preserve">analyse est revu </w:t>
      </w:r>
      <w:r w:rsidR="00C52168">
        <w:rPr>
          <w:rFonts w:cs="Calibri"/>
          <w:color w:val="000000"/>
          <w:sz w:val="24"/>
          <w:szCs w:val="24"/>
        </w:rPr>
        <w:t xml:space="preserve">de </w:t>
      </w:r>
      <w:r w:rsidR="008B607C">
        <w:rPr>
          <w:rFonts w:cs="Calibri"/>
          <w:color w:val="000000"/>
          <w:sz w:val="24"/>
          <w:szCs w:val="24"/>
        </w:rPr>
        <w:t>la LOA</w:t>
      </w:r>
      <w:r>
        <w:rPr>
          <w:rFonts w:cs="Calibri"/>
          <w:color w:val="000000"/>
          <w:sz w:val="24"/>
          <w:szCs w:val="24"/>
        </w:rPr>
        <w:t xml:space="preserve"> et amendé ;</w:t>
      </w:r>
    </w:p>
    <w:p w14:paraId="7C1FAEFC" w14:textId="0324A876" w:rsidR="00F0619A" w:rsidRDefault="00F0619A" w:rsidP="00A864FF">
      <w:pPr>
        <w:pStyle w:val="ListParagraph"/>
        <w:widowControl w:val="0"/>
        <w:numPr>
          <w:ilvl w:val="0"/>
          <w:numId w:val="19"/>
        </w:numPr>
        <w:autoSpaceDE w:val="0"/>
        <w:autoSpaceDN w:val="0"/>
        <w:adjustRightInd w:val="0"/>
        <w:spacing w:after="176" w:line="283" w:lineRule="atLeast"/>
        <w:ind w:right="100"/>
        <w:jc w:val="both"/>
        <w:rPr>
          <w:rFonts w:cs="Calibri"/>
          <w:color w:val="000000"/>
          <w:sz w:val="24"/>
          <w:szCs w:val="24"/>
        </w:rPr>
      </w:pPr>
      <w:r>
        <w:rPr>
          <w:rFonts w:cs="Calibri"/>
          <w:color w:val="000000"/>
          <w:sz w:val="24"/>
          <w:szCs w:val="24"/>
        </w:rPr>
        <w:lastRenderedPageBreak/>
        <w:t>La note technique conforme au besoin de plaidoyer du Collectif est élaborée ;</w:t>
      </w:r>
    </w:p>
    <w:p w14:paraId="63B4FFD1" w14:textId="305F7176" w:rsidR="00A864FF" w:rsidRDefault="00C52168" w:rsidP="00F0619A">
      <w:pPr>
        <w:pStyle w:val="ListParagraph"/>
        <w:widowControl w:val="0"/>
        <w:numPr>
          <w:ilvl w:val="0"/>
          <w:numId w:val="19"/>
        </w:numPr>
        <w:autoSpaceDE w:val="0"/>
        <w:autoSpaceDN w:val="0"/>
        <w:adjustRightInd w:val="0"/>
        <w:spacing w:after="176" w:line="283" w:lineRule="atLeast"/>
        <w:ind w:right="100"/>
        <w:rPr>
          <w:rFonts w:cs="Calibri"/>
          <w:color w:val="000000"/>
          <w:sz w:val="24"/>
          <w:szCs w:val="24"/>
        </w:rPr>
      </w:pPr>
      <w:r>
        <w:rPr>
          <w:rFonts w:cs="Calibri"/>
          <w:color w:val="000000"/>
          <w:sz w:val="24"/>
          <w:szCs w:val="24"/>
        </w:rPr>
        <w:t>L</w:t>
      </w:r>
      <w:r w:rsidR="00A1754E">
        <w:rPr>
          <w:rFonts w:cs="Calibri"/>
          <w:color w:val="000000"/>
          <w:sz w:val="24"/>
          <w:szCs w:val="24"/>
        </w:rPr>
        <w:t>es documents de plaidoyer du Collectif sont harmonisés avec le cadre légal guinéen, les normes et standards régionaux et internationaux ;</w:t>
      </w:r>
    </w:p>
    <w:p w14:paraId="1B911BC9" w14:textId="5890975B" w:rsidR="00A864FF" w:rsidRPr="00F0619A" w:rsidRDefault="00A1754E" w:rsidP="008C55A5">
      <w:pPr>
        <w:pStyle w:val="ListParagraph"/>
        <w:widowControl w:val="0"/>
        <w:numPr>
          <w:ilvl w:val="0"/>
          <w:numId w:val="19"/>
        </w:numPr>
        <w:autoSpaceDE w:val="0"/>
        <w:autoSpaceDN w:val="0"/>
        <w:adjustRightInd w:val="0"/>
        <w:spacing w:after="176" w:line="283" w:lineRule="atLeast"/>
        <w:ind w:right="100"/>
        <w:jc w:val="both"/>
      </w:pPr>
      <w:r w:rsidRPr="00F0619A">
        <w:t>D’autres instruments pertinents de plaidoyer sont proposés ;</w:t>
      </w:r>
    </w:p>
    <w:p w14:paraId="557E3E14" w14:textId="77777777" w:rsidR="00E767C5" w:rsidRDefault="00E767C5">
      <w:pPr>
        <w:pStyle w:val="ListParagraph"/>
        <w:widowControl w:val="0"/>
        <w:autoSpaceDE w:val="0"/>
        <w:autoSpaceDN w:val="0"/>
        <w:adjustRightInd w:val="0"/>
        <w:spacing w:after="176" w:line="283" w:lineRule="atLeast"/>
        <w:ind w:left="747" w:right="100"/>
        <w:jc w:val="both"/>
        <w:rPr>
          <w:rFonts w:cs="Calibri"/>
          <w:color w:val="000000"/>
          <w:sz w:val="24"/>
          <w:szCs w:val="24"/>
        </w:rPr>
      </w:pPr>
    </w:p>
    <w:p w14:paraId="73B3B861" w14:textId="09412278" w:rsidR="00E767C5" w:rsidRPr="00AD3A6E" w:rsidRDefault="00A1754E" w:rsidP="00AD3A6E">
      <w:pPr>
        <w:pStyle w:val="ListParagraph"/>
        <w:numPr>
          <w:ilvl w:val="0"/>
          <w:numId w:val="2"/>
        </w:numPr>
        <w:autoSpaceDE w:val="0"/>
        <w:autoSpaceDN w:val="0"/>
        <w:adjustRightInd w:val="0"/>
        <w:jc w:val="both"/>
        <w:rPr>
          <w:b/>
          <w:sz w:val="24"/>
          <w:szCs w:val="24"/>
          <w:lang w:val="fr-BE"/>
        </w:rPr>
      </w:pPr>
      <w:r>
        <w:rPr>
          <w:b/>
          <w:bCs/>
          <w:sz w:val="24"/>
          <w:szCs w:val="24"/>
          <w:lang w:eastAsia="fr-FR"/>
        </w:rPr>
        <w:t>EXIGENCES REQUISES</w:t>
      </w:r>
    </w:p>
    <w:p w14:paraId="50B55FB7" w14:textId="77777777" w:rsidR="00E767C5" w:rsidRDefault="00A1754E">
      <w:pPr>
        <w:pStyle w:val="ListParagraph"/>
        <w:numPr>
          <w:ilvl w:val="0"/>
          <w:numId w:val="9"/>
        </w:numPr>
        <w:spacing w:line="240" w:lineRule="auto"/>
        <w:jc w:val="both"/>
        <w:rPr>
          <w:color w:val="000000"/>
          <w:sz w:val="24"/>
          <w:szCs w:val="24"/>
          <w:lang w:val="fr-BE"/>
        </w:rPr>
      </w:pPr>
      <w:r>
        <w:rPr>
          <w:color w:val="000000"/>
          <w:sz w:val="24"/>
          <w:szCs w:val="24"/>
          <w:lang w:val="fr-BE"/>
        </w:rPr>
        <w:t xml:space="preserve">Détenteur d’un diplôme universitaire en sciences juridiques, sciences sociales ou tout autre diplôme équivalent et en relation avec le travail à faire ; </w:t>
      </w:r>
    </w:p>
    <w:p w14:paraId="5925E0B2" w14:textId="77777777" w:rsidR="00E767C5" w:rsidRDefault="00A1754E">
      <w:pPr>
        <w:numPr>
          <w:ilvl w:val="0"/>
          <w:numId w:val="9"/>
        </w:numPr>
        <w:spacing w:after="0" w:line="240" w:lineRule="auto"/>
        <w:jc w:val="both"/>
        <w:rPr>
          <w:color w:val="000000"/>
          <w:sz w:val="24"/>
          <w:szCs w:val="24"/>
          <w:lang w:val="fr-BE"/>
        </w:rPr>
      </w:pPr>
      <w:r>
        <w:rPr>
          <w:color w:val="000000"/>
          <w:sz w:val="24"/>
          <w:szCs w:val="24"/>
          <w:lang w:val="fr-BE"/>
        </w:rPr>
        <w:t xml:space="preserve">Au moins 5 années de travail dans le domaine </w:t>
      </w:r>
      <w:r>
        <w:rPr>
          <w:sz w:val="24"/>
          <w:szCs w:val="24"/>
        </w:rPr>
        <w:t>de l’analyse des Politiques, lois et règlements nationaux  sur la gestion des ressources naturelles, de préférence dans la sous-région de l’Afrique de l’Ouest</w:t>
      </w:r>
      <w:r>
        <w:rPr>
          <w:color w:val="000000"/>
          <w:sz w:val="24"/>
          <w:szCs w:val="24"/>
          <w:lang w:val="fr-BE"/>
        </w:rPr>
        <w:t xml:space="preserve"> ;</w:t>
      </w:r>
    </w:p>
    <w:p w14:paraId="1D29F81D" w14:textId="77777777" w:rsidR="00E767C5" w:rsidRDefault="00A1754E">
      <w:pPr>
        <w:numPr>
          <w:ilvl w:val="0"/>
          <w:numId w:val="9"/>
        </w:numPr>
        <w:spacing w:after="0" w:line="240" w:lineRule="auto"/>
        <w:jc w:val="both"/>
        <w:rPr>
          <w:color w:val="000000"/>
          <w:sz w:val="24"/>
          <w:szCs w:val="24"/>
          <w:lang w:val="fr-BE"/>
        </w:rPr>
      </w:pPr>
      <w:r>
        <w:rPr>
          <w:color w:val="000000"/>
          <w:sz w:val="24"/>
          <w:szCs w:val="24"/>
          <w:lang w:val="fr-BE"/>
        </w:rPr>
        <w:t xml:space="preserve">Avoir au moins 3 ans d’expériences dans le domaine de la législation agricole ; </w:t>
      </w:r>
    </w:p>
    <w:p w14:paraId="6E203624" w14:textId="77777777" w:rsidR="00E767C5" w:rsidRDefault="00A1754E">
      <w:pPr>
        <w:pStyle w:val="ListParagraph"/>
        <w:numPr>
          <w:ilvl w:val="0"/>
          <w:numId w:val="9"/>
        </w:numPr>
        <w:spacing w:after="160" w:line="259" w:lineRule="auto"/>
        <w:jc w:val="both"/>
        <w:rPr>
          <w:color w:val="000000"/>
          <w:sz w:val="24"/>
          <w:szCs w:val="24"/>
          <w:lang w:val="fr-BE"/>
        </w:rPr>
      </w:pPr>
      <w:r>
        <w:rPr>
          <w:color w:val="000000"/>
          <w:sz w:val="24"/>
          <w:szCs w:val="24"/>
          <w:lang w:val="fr-BE"/>
        </w:rPr>
        <w:t>Aptitude démontrée à préparer des rapports techniques clairs et concis ;</w:t>
      </w:r>
    </w:p>
    <w:p w14:paraId="64C9F977" w14:textId="77777777" w:rsidR="00E767C5" w:rsidRDefault="00A1754E">
      <w:pPr>
        <w:pStyle w:val="ListParagraph"/>
        <w:numPr>
          <w:ilvl w:val="0"/>
          <w:numId w:val="9"/>
        </w:numPr>
        <w:spacing w:after="0" w:line="240" w:lineRule="auto"/>
        <w:jc w:val="both"/>
        <w:rPr>
          <w:sz w:val="24"/>
          <w:szCs w:val="24"/>
          <w:lang w:val="fr-BE"/>
        </w:rPr>
      </w:pPr>
      <w:r>
        <w:rPr>
          <w:sz w:val="24"/>
          <w:szCs w:val="24"/>
          <w:lang w:val="fr-BE"/>
        </w:rPr>
        <w:t>Solides capacités d’analyse et de synthèse des situations et habilité à trouver des solutions;</w:t>
      </w:r>
    </w:p>
    <w:p w14:paraId="337423C5" w14:textId="574B234D" w:rsidR="00E767C5" w:rsidRDefault="00A1754E">
      <w:pPr>
        <w:pStyle w:val="ListParagraph"/>
        <w:numPr>
          <w:ilvl w:val="0"/>
          <w:numId w:val="9"/>
        </w:numPr>
        <w:spacing w:after="0" w:line="240" w:lineRule="auto"/>
        <w:jc w:val="both"/>
        <w:rPr>
          <w:sz w:val="24"/>
          <w:szCs w:val="24"/>
          <w:lang w:val="fr-BE"/>
        </w:rPr>
      </w:pPr>
      <w:r>
        <w:rPr>
          <w:sz w:val="24"/>
          <w:szCs w:val="24"/>
          <w:lang w:val="fr-BE"/>
        </w:rPr>
        <w:t xml:space="preserve">Aptitude et intérêt à travailler en équipe dans un environnement </w:t>
      </w:r>
      <w:r w:rsidR="007678CD">
        <w:rPr>
          <w:sz w:val="24"/>
          <w:szCs w:val="24"/>
          <w:lang w:val="fr-BE"/>
        </w:rPr>
        <w:t>multiculturel ;</w:t>
      </w:r>
    </w:p>
    <w:p w14:paraId="098D18BB" w14:textId="77777777" w:rsidR="00E767C5" w:rsidRDefault="00A1754E">
      <w:pPr>
        <w:pStyle w:val="ListParagraph"/>
        <w:numPr>
          <w:ilvl w:val="0"/>
          <w:numId w:val="9"/>
        </w:numPr>
        <w:spacing w:after="0" w:line="240" w:lineRule="auto"/>
        <w:jc w:val="both"/>
        <w:rPr>
          <w:sz w:val="24"/>
          <w:szCs w:val="24"/>
          <w:lang w:val="fr-BE"/>
        </w:rPr>
      </w:pPr>
      <w:r>
        <w:rPr>
          <w:sz w:val="24"/>
          <w:szCs w:val="24"/>
          <w:lang w:val="fr-BE"/>
        </w:rPr>
        <w:t>Aptitude à communiquer de façon efficace avec les différents partenaires impliqués;</w:t>
      </w:r>
    </w:p>
    <w:p w14:paraId="04FA8173" w14:textId="0893111C" w:rsidR="00E767C5" w:rsidRDefault="00A1754E">
      <w:pPr>
        <w:pStyle w:val="ListParagraph"/>
        <w:numPr>
          <w:ilvl w:val="0"/>
          <w:numId w:val="9"/>
        </w:numPr>
        <w:spacing w:after="0" w:line="240" w:lineRule="auto"/>
        <w:jc w:val="both"/>
        <w:rPr>
          <w:sz w:val="24"/>
          <w:szCs w:val="24"/>
          <w:lang w:val="fr-BE"/>
        </w:rPr>
      </w:pPr>
      <w:r>
        <w:rPr>
          <w:sz w:val="24"/>
          <w:szCs w:val="24"/>
          <w:lang w:val="fr-BE"/>
        </w:rPr>
        <w:t xml:space="preserve">Ouverture d’esprit et volonté de faire preuve d’adaptabilité et de souplesse dans les relations avec ses </w:t>
      </w:r>
      <w:r w:rsidR="007678CD">
        <w:rPr>
          <w:sz w:val="24"/>
          <w:szCs w:val="24"/>
          <w:lang w:val="fr-BE"/>
        </w:rPr>
        <w:t>collaborateurs ;</w:t>
      </w:r>
    </w:p>
    <w:p w14:paraId="1944BF25" w14:textId="77777777" w:rsidR="00E767C5" w:rsidRDefault="00A1754E">
      <w:pPr>
        <w:pStyle w:val="ListParagraph"/>
        <w:numPr>
          <w:ilvl w:val="0"/>
          <w:numId w:val="9"/>
        </w:numPr>
        <w:spacing w:after="0" w:line="240" w:lineRule="auto"/>
        <w:jc w:val="both"/>
        <w:rPr>
          <w:sz w:val="24"/>
          <w:szCs w:val="24"/>
          <w:lang w:val="fr-BE"/>
        </w:rPr>
      </w:pPr>
      <w:r>
        <w:rPr>
          <w:sz w:val="24"/>
          <w:szCs w:val="24"/>
        </w:rPr>
        <w:t>Des compétences organisationnelles poussées ;</w:t>
      </w:r>
    </w:p>
    <w:p w14:paraId="7D65A1EA" w14:textId="77777777" w:rsidR="00E767C5" w:rsidRDefault="00A1754E">
      <w:pPr>
        <w:pStyle w:val="ListParagraph"/>
        <w:numPr>
          <w:ilvl w:val="0"/>
          <w:numId w:val="9"/>
        </w:numPr>
        <w:spacing w:after="0" w:line="240" w:lineRule="auto"/>
        <w:jc w:val="both"/>
        <w:rPr>
          <w:sz w:val="24"/>
          <w:szCs w:val="24"/>
          <w:lang w:val="fr-BE"/>
        </w:rPr>
      </w:pPr>
      <w:r>
        <w:rPr>
          <w:sz w:val="24"/>
          <w:szCs w:val="24"/>
        </w:rPr>
        <w:t>La capacité à travailler de façon autonome, en faisant preuve de flexibilité et d’initiative même sous pression.</w:t>
      </w:r>
    </w:p>
    <w:p w14:paraId="3F01860B" w14:textId="77777777" w:rsidR="00E767C5" w:rsidRDefault="00E767C5">
      <w:pPr>
        <w:pStyle w:val="ListParagraph"/>
        <w:spacing w:after="0" w:line="240" w:lineRule="auto"/>
        <w:ind w:left="1080"/>
        <w:jc w:val="both"/>
        <w:rPr>
          <w:sz w:val="24"/>
          <w:szCs w:val="24"/>
          <w:lang w:val="fr-BE"/>
        </w:rPr>
      </w:pPr>
    </w:p>
    <w:p w14:paraId="38802D89" w14:textId="77777777" w:rsidR="00E767C5" w:rsidRDefault="00A1754E">
      <w:pPr>
        <w:pStyle w:val="ListParagraph"/>
        <w:numPr>
          <w:ilvl w:val="0"/>
          <w:numId w:val="2"/>
        </w:numPr>
        <w:autoSpaceDE w:val="0"/>
        <w:autoSpaceDN w:val="0"/>
        <w:adjustRightInd w:val="0"/>
        <w:jc w:val="both"/>
        <w:rPr>
          <w:b/>
          <w:sz w:val="24"/>
          <w:szCs w:val="24"/>
        </w:rPr>
      </w:pPr>
      <w:r>
        <w:rPr>
          <w:b/>
          <w:sz w:val="24"/>
          <w:szCs w:val="24"/>
        </w:rPr>
        <w:t>DOSSIERS DE CANDIDATURES</w:t>
      </w:r>
    </w:p>
    <w:p w14:paraId="285FBCEF" w14:textId="77777777" w:rsidR="00E767C5" w:rsidRDefault="00A1754E" w:rsidP="00634D2B">
      <w:pPr>
        <w:spacing w:after="0"/>
        <w:jc w:val="both"/>
        <w:rPr>
          <w:color w:val="000000"/>
          <w:sz w:val="24"/>
          <w:szCs w:val="24"/>
          <w:lang w:val="fr-BE"/>
        </w:rPr>
      </w:pPr>
      <w:r>
        <w:rPr>
          <w:color w:val="000000"/>
          <w:sz w:val="24"/>
          <w:szCs w:val="24"/>
          <w:lang w:val="fr-BE"/>
        </w:rPr>
        <w:t>Le dossier de candidature est constitué des éléments suivants :</w:t>
      </w:r>
    </w:p>
    <w:p w14:paraId="7BDFE055" w14:textId="77777777" w:rsidR="00E767C5" w:rsidRDefault="00A1754E">
      <w:pPr>
        <w:pStyle w:val="ListParagraph"/>
        <w:numPr>
          <w:ilvl w:val="0"/>
          <w:numId w:val="10"/>
        </w:numPr>
        <w:spacing w:after="0" w:line="360" w:lineRule="auto"/>
        <w:jc w:val="both"/>
        <w:rPr>
          <w:color w:val="000000"/>
          <w:sz w:val="24"/>
          <w:szCs w:val="24"/>
          <w:lang w:val="fr-BE"/>
        </w:rPr>
      </w:pPr>
      <w:r>
        <w:rPr>
          <w:color w:val="000000"/>
          <w:sz w:val="24"/>
          <w:szCs w:val="24"/>
          <w:lang w:val="fr-BE"/>
        </w:rPr>
        <w:t>Une offre technique (résumé) et financière ;</w:t>
      </w:r>
    </w:p>
    <w:p w14:paraId="56AE0FF8" w14:textId="77777777" w:rsidR="00E767C5" w:rsidRDefault="00A1754E">
      <w:pPr>
        <w:pStyle w:val="ListParagraph"/>
        <w:numPr>
          <w:ilvl w:val="0"/>
          <w:numId w:val="10"/>
        </w:numPr>
        <w:spacing w:after="0" w:line="360" w:lineRule="auto"/>
        <w:jc w:val="both"/>
        <w:rPr>
          <w:color w:val="000000"/>
          <w:sz w:val="24"/>
          <w:szCs w:val="24"/>
          <w:lang w:val="fr-BE"/>
        </w:rPr>
      </w:pPr>
      <w:r>
        <w:rPr>
          <w:color w:val="000000"/>
          <w:sz w:val="24"/>
          <w:szCs w:val="24"/>
          <w:lang w:val="fr-BE"/>
        </w:rPr>
        <w:t>Un CV ;</w:t>
      </w:r>
    </w:p>
    <w:p w14:paraId="6EA776EE" w14:textId="77777777" w:rsidR="00E767C5" w:rsidRDefault="00A1754E">
      <w:pPr>
        <w:pStyle w:val="ListParagraph"/>
        <w:numPr>
          <w:ilvl w:val="0"/>
          <w:numId w:val="10"/>
        </w:numPr>
        <w:spacing w:after="0" w:line="360" w:lineRule="auto"/>
        <w:jc w:val="both"/>
        <w:rPr>
          <w:color w:val="000000"/>
          <w:sz w:val="24"/>
          <w:szCs w:val="24"/>
          <w:lang w:val="fr-BE"/>
        </w:rPr>
      </w:pPr>
      <w:r>
        <w:rPr>
          <w:color w:val="000000"/>
          <w:sz w:val="24"/>
          <w:szCs w:val="24"/>
          <w:lang w:val="fr-BE"/>
        </w:rPr>
        <w:t>Une liste de trois personnes de référence avec leurs contacts ;</w:t>
      </w:r>
    </w:p>
    <w:p w14:paraId="298A807F" w14:textId="77777777" w:rsidR="00E767C5" w:rsidRDefault="00A1754E">
      <w:pPr>
        <w:pStyle w:val="ListParagraph"/>
        <w:numPr>
          <w:ilvl w:val="0"/>
          <w:numId w:val="10"/>
        </w:numPr>
        <w:spacing w:after="0" w:line="360" w:lineRule="auto"/>
        <w:jc w:val="both"/>
        <w:rPr>
          <w:color w:val="000000"/>
          <w:sz w:val="24"/>
          <w:szCs w:val="24"/>
          <w:lang w:val="fr-BE"/>
        </w:rPr>
      </w:pPr>
      <w:r>
        <w:rPr>
          <w:color w:val="000000"/>
          <w:sz w:val="24"/>
          <w:szCs w:val="24"/>
          <w:lang w:val="fr-BE"/>
        </w:rPr>
        <w:t>Les attestations de travail ;</w:t>
      </w:r>
    </w:p>
    <w:p w14:paraId="417061AD" w14:textId="77777777" w:rsidR="00E767C5" w:rsidRDefault="00A1754E">
      <w:pPr>
        <w:pStyle w:val="ListParagraph"/>
        <w:numPr>
          <w:ilvl w:val="0"/>
          <w:numId w:val="10"/>
        </w:numPr>
        <w:spacing w:after="0" w:line="360" w:lineRule="auto"/>
        <w:jc w:val="both"/>
        <w:rPr>
          <w:color w:val="000000"/>
          <w:sz w:val="24"/>
          <w:szCs w:val="24"/>
          <w:lang w:val="fr-BE"/>
        </w:rPr>
      </w:pPr>
      <w:r>
        <w:rPr>
          <w:color w:val="000000"/>
          <w:sz w:val="24"/>
          <w:szCs w:val="24"/>
          <w:lang w:val="fr-BE"/>
        </w:rPr>
        <w:t>Tous autres documents jugés utiles pour appuyer la candidature.</w:t>
      </w:r>
    </w:p>
    <w:p w14:paraId="12D97DF4" w14:textId="77777777" w:rsidR="00AD3A6E" w:rsidRDefault="00A1754E" w:rsidP="008C24AC">
      <w:pPr>
        <w:autoSpaceDE w:val="0"/>
        <w:autoSpaceDN w:val="0"/>
        <w:jc w:val="both"/>
        <w:rPr>
          <w:color w:val="000000"/>
          <w:sz w:val="24"/>
          <w:szCs w:val="24"/>
          <w:lang w:val="fr-BE"/>
        </w:rPr>
      </w:pPr>
      <w:r>
        <w:rPr>
          <w:color w:val="000000"/>
          <w:sz w:val="24"/>
          <w:szCs w:val="24"/>
          <w:lang w:val="fr-BE"/>
        </w:rPr>
        <w:t>Les dossiers peuvent être envoyés</w:t>
      </w:r>
      <w:r w:rsidR="00AD3A6E">
        <w:rPr>
          <w:color w:val="000000"/>
          <w:sz w:val="24"/>
          <w:szCs w:val="24"/>
          <w:lang w:val="fr-BE"/>
        </w:rPr>
        <w:t xml:space="preserve"> par :</w:t>
      </w:r>
    </w:p>
    <w:p w14:paraId="1DF8F720" w14:textId="467B63B4" w:rsidR="00AD3A6E" w:rsidRDefault="00AD3A6E" w:rsidP="008C24AC">
      <w:pPr>
        <w:autoSpaceDE w:val="0"/>
        <w:autoSpaceDN w:val="0"/>
        <w:spacing w:before="240" w:after="0"/>
        <w:jc w:val="both"/>
        <w:rPr>
          <w:rFonts w:cs="Times New Roman"/>
          <w:sz w:val="24"/>
          <w:szCs w:val="24"/>
          <w:lang w:val="fr-BE"/>
        </w:rPr>
      </w:pPr>
      <w:r>
        <w:rPr>
          <w:color w:val="000000"/>
          <w:sz w:val="24"/>
          <w:szCs w:val="24"/>
          <w:lang w:val="fr-BE"/>
        </w:rPr>
        <w:t xml:space="preserve">Courrier électronique </w:t>
      </w:r>
      <w:r w:rsidR="00A1754E">
        <w:rPr>
          <w:color w:val="000000"/>
          <w:sz w:val="24"/>
          <w:szCs w:val="24"/>
          <w:lang w:val="fr-BE"/>
        </w:rPr>
        <w:t>à l’adresse suivante :</w:t>
      </w:r>
      <w:r w:rsidR="00A1754E">
        <w:rPr>
          <w:rFonts w:cs="Times New Roman"/>
          <w:sz w:val="24"/>
          <w:szCs w:val="24"/>
          <w:lang w:val="fr-BE"/>
        </w:rPr>
        <w:t xml:space="preserve"> </w:t>
      </w:r>
      <w:hyperlink r:id="rId11" w:history="1">
        <w:r w:rsidR="00A1754E">
          <w:rPr>
            <w:rStyle w:val="Hyperlink"/>
            <w:sz w:val="24"/>
            <w:szCs w:val="24"/>
            <w:lang w:val="fr-BE"/>
          </w:rPr>
          <w:t>boriaden@gmail.com</w:t>
        </w:r>
      </w:hyperlink>
      <w:hyperlink r:id="rId12" w:history="1"/>
      <w:r w:rsidR="00A1754E">
        <w:rPr>
          <w:rFonts w:cs="Times New Roman"/>
          <w:sz w:val="24"/>
          <w:szCs w:val="24"/>
          <w:lang w:val="fr-BE"/>
        </w:rPr>
        <w:t xml:space="preserve"> en mettant en copie </w:t>
      </w:r>
      <w:hyperlink r:id="rId13" w:history="1">
        <w:r w:rsidR="008C55A5" w:rsidRPr="001C19A3">
          <w:rPr>
            <w:rStyle w:val="Hyperlink"/>
            <w:rFonts w:ascii="Helvetica" w:eastAsia="Times New Roman" w:hAnsi="Helvetica" w:cs="Helvetica"/>
            <w:sz w:val="21"/>
            <w:szCs w:val="21"/>
            <w:lang w:eastAsia="fr-FR"/>
          </w:rPr>
          <w:t>lkourouma7@yahoo.com</w:t>
        </w:r>
      </w:hyperlink>
      <w:r w:rsidR="008C55A5">
        <w:rPr>
          <w:rFonts w:ascii="Helvetica" w:eastAsia="Times New Roman" w:hAnsi="Helvetica" w:cs="Helvetica"/>
          <w:color w:val="555555"/>
          <w:sz w:val="21"/>
          <w:szCs w:val="21"/>
          <w:lang w:eastAsia="fr-FR"/>
        </w:rPr>
        <w:t xml:space="preserve"> et </w:t>
      </w:r>
      <w:hyperlink r:id="rId14" w:history="1">
        <w:r w:rsidR="00A1754E">
          <w:rPr>
            <w:rStyle w:val="Hyperlink"/>
            <w:sz w:val="24"/>
            <w:szCs w:val="24"/>
            <w:lang w:val="fr-BE"/>
          </w:rPr>
          <w:t>boubacardiallogn@gmail.com</w:t>
        </w:r>
      </w:hyperlink>
      <w:r>
        <w:rPr>
          <w:rFonts w:cs="Times New Roman"/>
          <w:sz w:val="24"/>
          <w:szCs w:val="24"/>
          <w:lang w:val="fr-BE"/>
        </w:rPr>
        <w:t xml:space="preserve"> ou sous pli fermé à déposer au bureau du CECEIDE sis à Kipé Dadia</w:t>
      </w:r>
      <w:r w:rsidR="008C24AC">
        <w:rPr>
          <w:rFonts w:cs="Times New Roman"/>
          <w:sz w:val="24"/>
          <w:szCs w:val="24"/>
          <w:lang w:val="fr-BE"/>
        </w:rPr>
        <w:t>, Rue : RO-236.</w:t>
      </w:r>
      <w:r>
        <w:rPr>
          <w:rFonts w:cs="Times New Roman"/>
          <w:sz w:val="24"/>
          <w:szCs w:val="24"/>
          <w:lang w:val="fr-BE"/>
        </w:rPr>
        <w:t xml:space="preserve"> </w:t>
      </w:r>
    </w:p>
    <w:p w14:paraId="0F600603" w14:textId="02D7858D" w:rsidR="00E767C5" w:rsidRPr="008C55A5" w:rsidRDefault="001A3DB8" w:rsidP="008C24AC">
      <w:pPr>
        <w:autoSpaceDE w:val="0"/>
        <w:autoSpaceDN w:val="0"/>
        <w:jc w:val="both"/>
        <w:rPr>
          <w:rFonts w:ascii="Helvetica" w:eastAsia="Times New Roman" w:hAnsi="Helvetica" w:cs="Helvetica"/>
          <w:color w:val="555555"/>
          <w:sz w:val="21"/>
          <w:szCs w:val="21"/>
          <w:lang w:eastAsia="fr-FR"/>
        </w:rPr>
      </w:pPr>
      <w:hyperlink r:id="rId15" w:history="1"/>
      <w:r w:rsidR="00A1754E">
        <w:rPr>
          <w:color w:val="000000"/>
          <w:sz w:val="24"/>
          <w:szCs w:val="24"/>
          <w:lang w:val="fr-BE"/>
        </w:rPr>
        <w:t xml:space="preserve">Tel : +224 622 48 43 41 </w:t>
      </w:r>
      <w:r w:rsidR="008C55A5">
        <w:rPr>
          <w:color w:val="000000"/>
          <w:sz w:val="24"/>
          <w:szCs w:val="24"/>
          <w:lang w:val="fr-BE"/>
        </w:rPr>
        <w:t xml:space="preserve">ou 623 34 53 57 </w:t>
      </w:r>
      <w:r w:rsidR="00A1754E">
        <w:rPr>
          <w:color w:val="000000"/>
          <w:sz w:val="24"/>
          <w:szCs w:val="24"/>
          <w:lang w:val="fr-BE"/>
        </w:rPr>
        <w:t>ou</w:t>
      </w:r>
      <w:r w:rsidR="008C55A5">
        <w:rPr>
          <w:color w:val="000000"/>
          <w:sz w:val="24"/>
          <w:szCs w:val="24"/>
          <w:lang w:val="fr-BE"/>
        </w:rPr>
        <w:t xml:space="preserve"> encore</w:t>
      </w:r>
      <w:r w:rsidR="00A1754E">
        <w:rPr>
          <w:color w:val="000000"/>
          <w:sz w:val="24"/>
          <w:szCs w:val="24"/>
          <w:lang w:val="fr-BE"/>
        </w:rPr>
        <w:t xml:space="preserve"> 622 11 01 13.</w:t>
      </w:r>
    </w:p>
    <w:p w14:paraId="71D36499" w14:textId="77777777" w:rsidR="00E767C5" w:rsidRDefault="00A1754E">
      <w:pPr>
        <w:autoSpaceDE w:val="0"/>
        <w:autoSpaceDN w:val="0"/>
        <w:jc w:val="both"/>
        <w:rPr>
          <w:b/>
          <w:color w:val="000000"/>
          <w:sz w:val="24"/>
          <w:szCs w:val="24"/>
          <w:lang w:val="fr-BE"/>
        </w:rPr>
      </w:pPr>
      <w:r>
        <w:rPr>
          <w:b/>
          <w:color w:val="000000"/>
          <w:sz w:val="24"/>
          <w:szCs w:val="24"/>
          <w:lang w:val="fr-BE"/>
        </w:rPr>
        <w:t xml:space="preserve">Cette consultation est prévue pour 5 jours successifs. </w:t>
      </w:r>
    </w:p>
    <w:p w14:paraId="55C734AC" w14:textId="3D91D083" w:rsidR="00E767C5" w:rsidRDefault="00A1754E">
      <w:pPr>
        <w:autoSpaceDE w:val="0"/>
        <w:autoSpaceDN w:val="0"/>
        <w:jc w:val="both"/>
        <w:rPr>
          <w:color w:val="000000"/>
          <w:sz w:val="24"/>
          <w:szCs w:val="24"/>
          <w:lang w:val="fr-BE"/>
        </w:rPr>
      </w:pPr>
      <w:r>
        <w:rPr>
          <w:b/>
          <w:color w:val="000000"/>
          <w:sz w:val="24"/>
          <w:szCs w:val="24"/>
          <w:u w:val="single"/>
          <w:lang w:val="fr-BE"/>
        </w:rPr>
        <w:t>La date limite de dépôt des dossiers est fixée au 0</w:t>
      </w:r>
      <w:r w:rsidR="00AD3A6E">
        <w:rPr>
          <w:b/>
          <w:color w:val="000000"/>
          <w:sz w:val="24"/>
          <w:szCs w:val="24"/>
          <w:u w:val="single"/>
          <w:lang w:val="fr-BE"/>
        </w:rPr>
        <w:t>9</w:t>
      </w:r>
      <w:r>
        <w:rPr>
          <w:b/>
          <w:color w:val="000000"/>
          <w:sz w:val="24"/>
          <w:szCs w:val="24"/>
          <w:u w:val="single"/>
          <w:lang w:val="fr-BE"/>
        </w:rPr>
        <w:t xml:space="preserve"> Septembre 2020  à 16h30</w:t>
      </w:r>
      <w:r>
        <w:rPr>
          <w:color w:val="000000"/>
          <w:sz w:val="24"/>
          <w:szCs w:val="24"/>
          <w:lang w:val="fr-BE"/>
        </w:rPr>
        <w:t xml:space="preserve">. </w:t>
      </w:r>
    </w:p>
    <w:p w14:paraId="6AAD35D2" w14:textId="7311B346" w:rsidR="00E767C5" w:rsidRPr="008C24AC" w:rsidRDefault="00A1754E" w:rsidP="008C24AC">
      <w:pPr>
        <w:autoSpaceDE w:val="0"/>
        <w:autoSpaceDN w:val="0"/>
        <w:jc w:val="both"/>
        <w:rPr>
          <w:color w:val="000000"/>
          <w:sz w:val="24"/>
          <w:szCs w:val="24"/>
          <w:lang w:val="fr-BE"/>
        </w:rPr>
      </w:pPr>
      <w:r>
        <w:rPr>
          <w:color w:val="000000"/>
          <w:sz w:val="24"/>
          <w:szCs w:val="24"/>
          <w:lang w:val="fr-BE"/>
        </w:rPr>
        <w:lastRenderedPageBreak/>
        <w:t>Seuls les candidats retenus seront conviés pour un entretien.</w:t>
      </w:r>
      <w:bookmarkEnd w:id="0"/>
    </w:p>
    <w:sectPr w:rsidR="00E767C5" w:rsidRPr="008C24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12667" w14:textId="77777777" w:rsidR="001A3DB8" w:rsidRDefault="001A3DB8">
      <w:pPr>
        <w:spacing w:after="0" w:line="240" w:lineRule="auto"/>
      </w:pPr>
      <w:r>
        <w:separator/>
      </w:r>
    </w:p>
  </w:endnote>
  <w:endnote w:type="continuationSeparator" w:id="0">
    <w:p w14:paraId="20456CD8" w14:textId="77777777" w:rsidR="001A3DB8" w:rsidRDefault="001A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3E37B" w14:textId="77777777" w:rsidR="00E767C5" w:rsidRDefault="00A1754E">
    <w:pPr>
      <w:pStyle w:val="BodyText"/>
      <w:spacing w:line="14" w:lineRule="auto"/>
      <w:rPr>
        <w:sz w:val="20"/>
      </w:rPr>
    </w:pPr>
    <w:r>
      <w:rPr>
        <w:noProof/>
        <w:lang w:val="fr-FR" w:eastAsia="fr-FR"/>
      </w:rPr>
      <mc:AlternateContent>
        <mc:Choice Requires="wps">
          <w:drawing>
            <wp:anchor distT="0" distB="0" distL="0" distR="0" simplePos="0" relativeHeight="2" behindDoc="1" locked="0" layoutInCell="1" allowOverlap="1" wp14:anchorId="2E2D7D2D" wp14:editId="2227F859">
              <wp:simplePos x="0" y="0"/>
              <wp:positionH relativeFrom="page">
                <wp:posOffset>6558280</wp:posOffset>
              </wp:positionH>
              <wp:positionV relativeFrom="page">
                <wp:posOffset>10057130</wp:posOffset>
              </wp:positionV>
              <wp:extent cx="127000" cy="194309"/>
              <wp:effectExtent l="0" t="0" r="1270" b="0"/>
              <wp:wrapNone/>
              <wp:docPr id="409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 cy="194309"/>
                      </a:xfrm>
                      <a:prstGeom prst="rect">
                        <a:avLst/>
                      </a:prstGeom>
                      <a:ln>
                        <a:noFill/>
                      </a:ln>
                    </wps:spPr>
                    <wps:txbx>
                      <w:txbxContent>
                        <w:p w14:paraId="726F2F5E" w14:textId="77777777" w:rsidR="00E767C5" w:rsidRDefault="00A1754E">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FE65D1">
                            <w:rPr>
                              <w:rFonts w:ascii="Times New Roman"/>
                              <w:noProof/>
                              <w:w w:val="99"/>
                              <w:sz w:val="24"/>
                            </w:rPr>
                            <w:t>1</w:t>
                          </w:r>
                          <w:r>
                            <w:fldChar w:fldCharType="end"/>
                          </w:r>
                        </w:p>
                      </w:txbxContent>
                    </wps:txbx>
                    <wps:bodyPr vert="horz" wrap="square" lIns="0" tIns="0" rIns="0" bIns="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margin-left:516.4pt;margin-top:791.9pt;width:10pt;height:15.3pt;z-index:-50331647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" filled="f" stroked="f">
              <v:path arrowok="t"/>
              <v:textbox inset="0,0,0,0">
                <w:txbxContent>
                  <w:p w14:paraId="726F2F5E" w14:textId="77777777" w:rsidR="00E767C5" w:rsidRDefault="00A1754E">
                    <w:pPr>
                      <w:spacing w:before="10"/>
                      <w:ind w:left="40"/>
                      <w:rPr>
                        <w:rFonts w:ascii="Times New Roman"/>
                        <w:sz w:val="24"/>
                      </w:rPr>
                    </w:pPr>
                    <w:r>
                      <w:fldChar w:fldCharType="begin"/>
                    </w:r>
                    <w:r>
                      <w:rPr>
                        <w:rFonts w:ascii="Times New Roman"/>
                        <w:w w:val="99"/>
                        <w:sz w:val="24"/>
                      </w:rPr>
                      <w:instrText xml:space="preserve"> PAGE </w:instrText>
                    </w:r>
                    <w:r>
                      <w:fldChar w:fldCharType="separate"/>
                    </w:r>
                    <w:r w:rsidR="00FE65D1">
                      <w:rPr>
                        <w:rFonts w:ascii="Times New Roman"/>
                        <w:noProof/>
                        <w:w w:val="99"/>
                        <w:sz w:val="24"/>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00510" w14:textId="77777777" w:rsidR="001A3DB8" w:rsidRDefault="001A3DB8">
      <w:pPr>
        <w:spacing w:after="0" w:line="240" w:lineRule="auto"/>
      </w:pPr>
      <w:r>
        <w:separator/>
      </w:r>
    </w:p>
  </w:footnote>
  <w:footnote w:type="continuationSeparator" w:id="0">
    <w:p w14:paraId="3EFFA740" w14:textId="77777777" w:rsidR="001A3DB8" w:rsidRDefault="001A3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649E7" w14:textId="200875BB" w:rsidR="005757A4" w:rsidRDefault="005757A4">
    <w:pPr>
      <w:pStyle w:val="Header"/>
    </w:pPr>
    <w:r>
      <w:rPr>
        <w:noProof/>
        <w:lang w:eastAsia="fr-FR"/>
      </w:rPr>
      <w:drawing>
        <wp:anchor distT="0" distB="0" distL="114300" distR="114300" simplePos="0" relativeHeight="4" behindDoc="1" locked="0" layoutInCell="1" allowOverlap="1" wp14:anchorId="30F2E104" wp14:editId="0FC2A152">
          <wp:simplePos x="0" y="0"/>
          <wp:positionH relativeFrom="margin">
            <wp:posOffset>3773805</wp:posOffset>
          </wp:positionH>
          <wp:positionV relativeFrom="paragraph">
            <wp:posOffset>-345440</wp:posOffset>
          </wp:positionV>
          <wp:extent cx="1533525" cy="876300"/>
          <wp:effectExtent l="0" t="0" r="9525" b="0"/>
          <wp:wrapTight wrapText="bothSides">
            <wp:wrapPolygon edited="0">
              <wp:start x="0" y="0"/>
              <wp:lineTo x="0" y="21130"/>
              <wp:lineTo x="21466" y="21130"/>
              <wp:lineTo x="21466" y="0"/>
              <wp:lineTo x="0" y="0"/>
            </wp:wrapPolygon>
          </wp:wrapTight>
          <wp:docPr id="409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pic:nvPicPr>
                <pic:blipFill>
                  <a:blip r:embed="rId1" cstate="print"/>
                  <a:srcRect/>
                  <a:stretch/>
                </pic:blipFill>
                <pic:spPr>
                  <a:xfrm>
                    <a:off x="0" y="0"/>
                    <a:ext cx="1533525" cy="8763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3" behindDoc="1" locked="0" layoutInCell="1" allowOverlap="1" wp14:anchorId="08C6027C" wp14:editId="41C551F0">
          <wp:simplePos x="0" y="0"/>
          <wp:positionH relativeFrom="margin">
            <wp:posOffset>699135</wp:posOffset>
          </wp:positionH>
          <wp:positionV relativeFrom="paragraph">
            <wp:posOffset>-346710</wp:posOffset>
          </wp:positionV>
          <wp:extent cx="1319530" cy="933450"/>
          <wp:effectExtent l="0" t="0" r="0" b="0"/>
          <wp:wrapTight wrapText="bothSides">
            <wp:wrapPolygon edited="0">
              <wp:start x="0" y="0"/>
              <wp:lineTo x="0" y="21159"/>
              <wp:lineTo x="21205" y="21159"/>
              <wp:lineTo x="21205" y="0"/>
              <wp:lineTo x="0" y="0"/>
            </wp:wrapPolygon>
          </wp:wrapTight>
          <wp:docPr id="409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2"/>
                  <pic:cNvPicPr/>
                </pic:nvPicPr>
                <pic:blipFill>
                  <a:blip r:embed="rId2" cstate="print"/>
                  <a:srcRect/>
                  <a:stretch/>
                </pic:blipFill>
                <pic:spPr>
                  <a:xfrm>
                    <a:off x="0" y="0"/>
                    <a:ext cx="1319530" cy="933450"/>
                  </a:xfrm>
                  <a:prstGeom prst="rect">
                    <a:avLst/>
                  </a:prstGeom>
                  <a:ln>
                    <a:noFill/>
                  </a:ln>
                </pic:spPr>
              </pic:pic>
            </a:graphicData>
          </a:graphic>
          <wp14:sizeRelH relativeFrom="page">
            <wp14:pctWidth>0</wp14:pctWidth>
          </wp14:sizeRelH>
          <wp14:sizeRelV relativeFrom="page">
            <wp14:pctHeight>0</wp14:pctHeight>
          </wp14:sizeRelV>
        </wp:anchor>
      </w:drawing>
    </w:r>
  </w:p>
  <w:p w14:paraId="7FFE43E1" w14:textId="453F14A9" w:rsidR="005757A4" w:rsidRDefault="005757A4">
    <w:pPr>
      <w:pStyle w:val="Header"/>
    </w:pPr>
  </w:p>
  <w:p w14:paraId="587EFD1B" w14:textId="77777777" w:rsidR="005757A4" w:rsidRDefault="005757A4">
    <w:pPr>
      <w:pStyle w:val="Header"/>
    </w:pPr>
  </w:p>
  <w:p w14:paraId="135859E2" w14:textId="1842C52F" w:rsidR="00E767C5" w:rsidRDefault="00E767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2ACB9C6"/>
    <w:lvl w:ilvl="0" w:tplc="B7D0225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566250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6B343300"/>
    <w:lvl w:ilvl="0" w:tplc="F9F278A0">
      <w:start w:val="1"/>
      <w:numFmt w:val="upperRoman"/>
      <w:lvlText w:val="%1."/>
      <w:lvlJc w:val="righ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000004"/>
    <w:multiLevelType w:val="hybridMultilevel"/>
    <w:tmpl w:val="FE14E4CC"/>
    <w:lvl w:ilvl="0" w:tplc="040C000F">
      <w:start w:val="1"/>
      <w:numFmt w:val="decimal"/>
      <w:lvlText w:val="%1."/>
      <w:lvlJc w:val="left"/>
      <w:pPr>
        <w:ind w:left="747" w:hanging="360"/>
      </w:pPr>
    </w:lvl>
    <w:lvl w:ilvl="1" w:tplc="040C0019" w:tentative="1">
      <w:start w:val="1"/>
      <w:numFmt w:val="lowerLetter"/>
      <w:lvlText w:val="%2."/>
      <w:lvlJc w:val="left"/>
      <w:pPr>
        <w:ind w:left="1467" w:hanging="360"/>
      </w:pPr>
    </w:lvl>
    <w:lvl w:ilvl="2" w:tplc="040C001B" w:tentative="1">
      <w:start w:val="1"/>
      <w:numFmt w:val="lowerRoman"/>
      <w:lvlText w:val="%3."/>
      <w:lvlJc w:val="right"/>
      <w:pPr>
        <w:ind w:left="2187" w:hanging="180"/>
      </w:pPr>
    </w:lvl>
    <w:lvl w:ilvl="3" w:tplc="040C000F" w:tentative="1">
      <w:start w:val="1"/>
      <w:numFmt w:val="decimal"/>
      <w:lvlText w:val="%4."/>
      <w:lvlJc w:val="left"/>
      <w:pPr>
        <w:ind w:left="2907" w:hanging="360"/>
      </w:pPr>
    </w:lvl>
    <w:lvl w:ilvl="4" w:tplc="040C0019" w:tentative="1">
      <w:start w:val="1"/>
      <w:numFmt w:val="lowerLetter"/>
      <w:lvlText w:val="%5."/>
      <w:lvlJc w:val="left"/>
      <w:pPr>
        <w:ind w:left="3627" w:hanging="360"/>
      </w:pPr>
    </w:lvl>
    <w:lvl w:ilvl="5" w:tplc="040C001B" w:tentative="1">
      <w:start w:val="1"/>
      <w:numFmt w:val="lowerRoman"/>
      <w:lvlText w:val="%6."/>
      <w:lvlJc w:val="right"/>
      <w:pPr>
        <w:ind w:left="4347" w:hanging="180"/>
      </w:pPr>
    </w:lvl>
    <w:lvl w:ilvl="6" w:tplc="040C000F" w:tentative="1">
      <w:start w:val="1"/>
      <w:numFmt w:val="decimal"/>
      <w:lvlText w:val="%7."/>
      <w:lvlJc w:val="left"/>
      <w:pPr>
        <w:ind w:left="5067" w:hanging="360"/>
      </w:pPr>
    </w:lvl>
    <w:lvl w:ilvl="7" w:tplc="040C0019" w:tentative="1">
      <w:start w:val="1"/>
      <w:numFmt w:val="lowerLetter"/>
      <w:lvlText w:val="%8."/>
      <w:lvlJc w:val="left"/>
      <w:pPr>
        <w:ind w:left="5787" w:hanging="360"/>
      </w:pPr>
    </w:lvl>
    <w:lvl w:ilvl="8" w:tplc="040C001B" w:tentative="1">
      <w:start w:val="1"/>
      <w:numFmt w:val="lowerRoman"/>
      <w:lvlText w:val="%9."/>
      <w:lvlJc w:val="right"/>
      <w:pPr>
        <w:ind w:left="6507" w:hanging="180"/>
      </w:pPr>
    </w:lvl>
  </w:abstractNum>
  <w:abstractNum w:abstractNumId="4">
    <w:nsid w:val="00000005"/>
    <w:multiLevelType w:val="hybridMultilevel"/>
    <w:tmpl w:val="43BCF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0000006"/>
    <w:multiLevelType w:val="hybridMultilevel"/>
    <w:tmpl w:val="863AE912"/>
    <w:lvl w:ilvl="0" w:tplc="D4E4DF70">
      <w:start w:val="1"/>
      <w:numFmt w:val="bullet"/>
      <w:pStyle w:val="RequirementsList"/>
      <w:lvlText w:val=""/>
      <w:lvlJc w:val="left"/>
      <w:pPr>
        <w:tabs>
          <w:tab w:val="left"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
    <w:nsid w:val="00000007"/>
    <w:multiLevelType w:val="hybridMultilevel"/>
    <w:tmpl w:val="BFA81EF4"/>
    <w:lvl w:ilvl="0" w:tplc="040C0001">
      <w:start w:val="1"/>
      <w:numFmt w:val="bullet"/>
      <w:lvlText w:val=""/>
      <w:lvlJc w:val="left"/>
      <w:pPr>
        <w:ind w:left="1467" w:hanging="360"/>
      </w:pPr>
      <w:rPr>
        <w:rFonts w:ascii="Symbol" w:hAnsi="Symbol" w:hint="default"/>
      </w:rPr>
    </w:lvl>
    <w:lvl w:ilvl="1" w:tplc="040C0003" w:tentative="1">
      <w:start w:val="1"/>
      <w:numFmt w:val="bullet"/>
      <w:lvlText w:val="o"/>
      <w:lvlJc w:val="left"/>
      <w:pPr>
        <w:ind w:left="2187" w:hanging="360"/>
      </w:pPr>
      <w:rPr>
        <w:rFonts w:ascii="Courier New" w:hAnsi="Courier New" w:cs="Courier New" w:hint="default"/>
      </w:rPr>
    </w:lvl>
    <w:lvl w:ilvl="2" w:tplc="040C0005" w:tentative="1">
      <w:start w:val="1"/>
      <w:numFmt w:val="bullet"/>
      <w:lvlText w:val=""/>
      <w:lvlJc w:val="left"/>
      <w:pPr>
        <w:ind w:left="2907" w:hanging="360"/>
      </w:pPr>
      <w:rPr>
        <w:rFonts w:ascii="Wingdings" w:hAnsi="Wingdings" w:hint="default"/>
      </w:rPr>
    </w:lvl>
    <w:lvl w:ilvl="3" w:tplc="040C0001" w:tentative="1">
      <w:start w:val="1"/>
      <w:numFmt w:val="bullet"/>
      <w:lvlText w:val=""/>
      <w:lvlJc w:val="left"/>
      <w:pPr>
        <w:ind w:left="3627" w:hanging="360"/>
      </w:pPr>
      <w:rPr>
        <w:rFonts w:ascii="Symbol" w:hAnsi="Symbol" w:hint="default"/>
      </w:rPr>
    </w:lvl>
    <w:lvl w:ilvl="4" w:tplc="040C0003" w:tentative="1">
      <w:start w:val="1"/>
      <w:numFmt w:val="bullet"/>
      <w:lvlText w:val="o"/>
      <w:lvlJc w:val="left"/>
      <w:pPr>
        <w:ind w:left="4347" w:hanging="360"/>
      </w:pPr>
      <w:rPr>
        <w:rFonts w:ascii="Courier New" w:hAnsi="Courier New" w:cs="Courier New" w:hint="default"/>
      </w:rPr>
    </w:lvl>
    <w:lvl w:ilvl="5" w:tplc="040C0005" w:tentative="1">
      <w:start w:val="1"/>
      <w:numFmt w:val="bullet"/>
      <w:lvlText w:val=""/>
      <w:lvlJc w:val="left"/>
      <w:pPr>
        <w:ind w:left="5067" w:hanging="360"/>
      </w:pPr>
      <w:rPr>
        <w:rFonts w:ascii="Wingdings" w:hAnsi="Wingdings" w:hint="default"/>
      </w:rPr>
    </w:lvl>
    <w:lvl w:ilvl="6" w:tplc="040C0001" w:tentative="1">
      <w:start w:val="1"/>
      <w:numFmt w:val="bullet"/>
      <w:lvlText w:val=""/>
      <w:lvlJc w:val="left"/>
      <w:pPr>
        <w:ind w:left="5787" w:hanging="360"/>
      </w:pPr>
      <w:rPr>
        <w:rFonts w:ascii="Symbol" w:hAnsi="Symbol" w:hint="default"/>
      </w:rPr>
    </w:lvl>
    <w:lvl w:ilvl="7" w:tplc="040C0003" w:tentative="1">
      <w:start w:val="1"/>
      <w:numFmt w:val="bullet"/>
      <w:lvlText w:val="o"/>
      <w:lvlJc w:val="left"/>
      <w:pPr>
        <w:ind w:left="6507" w:hanging="360"/>
      </w:pPr>
      <w:rPr>
        <w:rFonts w:ascii="Courier New" w:hAnsi="Courier New" w:cs="Courier New" w:hint="default"/>
      </w:rPr>
    </w:lvl>
    <w:lvl w:ilvl="8" w:tplc="040C0005" w:tentative="1">
      <w:start w:val="1"/>
      <w:numFmt w:val="bullet"/>
      <w:lvlText w:val=""/>
      <w:lvlJc w:val="left"/>
      <w:pPr>
        <w:ind w:left="7227" w:hanging="360"/>
      </w:pPr>
      <w:rPr>
        <w:rFonts w:ascii="Wingdings" w:hAnsi="Wingdings" w:hint="default"/>
      </w:rPr>
    </w:lvl>
  </w:abstractNum>
  <w:abstractNum w:abstractNumId="7">
    <w:nsid w:val="00000008"/>
    <w:multiLevelType w:val="singleLevel"/>
    <w:tmpl w:val="1F8A50B0"/>
    <w:lvl w:ilvl="0">
      <w:start w:val="5"/>
      <w:numFmt w:val="decimal"/>
      <w:lvlText w:val="%1."/>
      <w:lvlJc w:val="left"/>
      <w:rPr>
        <w:rFonts w:ascii="Times New Roman" w:hAnsi="Times New Roman" w:cs="Times New Roman" w:hint="default"/>
      </w:rPr>
    </w:lvl>
  </w:abstractNum>
  <w:abstractNum w:abstractNumId="8">
    <w:nsid w:val="00000009"/>
    <w:multiLevelType w:val="hybridMultilevel"/>
    <w:tmpl w:val="0E04EE02"/>
    <w:lvl w:ilvl="0" w:tplc="A5F0968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F1D2C1E4"/>
    <w:lvl w:ilvl="0" w:tplc="040C000F">
      <w:start w:val="1"/>
      <w:numFmt w:val="decimal"/>
      <w:lvlText w:val="%1."/>
      <w:lvlJc w:val="left"/>
      <w:pPr>
        <w:ind w:left="747" w:hanging="360"/>
      </w:pPr>
    </w:lvl>
    <w:lvl w:ilvl="1" w:tplc="040C0019" w:tentative="1">
      <w:start w:val="1"/>
      <w:numFmt w:val="lowerLetter"/>
      <w:lvlText w:val="%2."/>
      <w:lvlJc w:val="left"/>
      <w:pPr>
        <w:ind w:left="1467" w:hanging="360"/>
      </w:pPr>
    </w:lvl>
    <w:lvl w:ilvl="2" w:tplc="040C001B" w:tentative="1">
      <w:start w:val="1"/>
      <w:numFmt w:val="lowerRoman"/>
      <w:lvlText w:val="%3."/>
      <w:lvlJc w:val="right"/>
      <w:pPr>
        <w:ind w:left="2187" w:hanging="180"/>
      </w:pPr>
    </w:lvl>
    <w:lvl w:ilvl="3" w:tplc="040C000F" w:tentative="1">
      <w:start w:val="1"/>
      <w:numFmt w:val="decimal"/>
      <w:lvlText w:val="%4."/>
      <w:lvlJc w:val="left"/>
      <w:pPr>
        <w:ind w:left="2907" w:hanging="360"/>
      </w:pPr>
    </w:lvl>
    <w:lvl w:ilvl="4" w:tplc="040C0019" w:tentative="1">
      <w:start w:val="1"/>
      <w:numFmt w:val="lowerLetter"/>
      <w:lvlText w:val="%5."/>
      <w:lvlJc w:val="left"/>
      <w:pPr>
        <w:ind w:left="3627" w:hanging="360"/>
      </w:pPr>
    </w:lvl>
    <w:lvl w:ilvl="5" w:tplc="040C001B" w:tentative="1">
      <w:start w:val="1"/>
      <w:numFmt w:val="lowerRoman"/>
      <w:lvlText w:val="%6."/>
      <w:lvlJc w:val="right"/>
      <w:pPr>
        <w:ind w:left="4347" w:hanging="180"/>
      </w:pPr>
    </w:lvl>
    <w:lvl w:ilvl="6" w:tplc="040C000F" w:tentative="1">
      <w:start w:val="1"/>
      <w:numFmt w:val="decimal"/>
      <w:lvlText w:val="%7."/>
      <w:lvlJc w:val="left"/>
      <w:pPr>
        <w:ind w:left="5067" w:hanging="360"/>
      </w:pPr>
    </w:lvl>
    <w:lvl w:ilvl="7" w:tplc="040C0019" w:tentative="1">
      <w:start w:val="1"/>
      <w:numFmt w:val="lowerLetter"/>
      <w:lvlText w:val="%8."/>
      <w:lvlJc w:val="left"/>
      <w:pPr>
        <w:ind w:left="5787" w:hanging="360"/>
      </w:pPr>
    </w:lvl>
    <w:lvl w:ilvl="8" w:tplc="040C001B" w:tentative="1">
      <w:start w:val="1"/>
      <w:numFmt w:val="lowerRoman"/>
      <w:lvlText w:val="%9."/>
      <w:lvlJc w:val="right"/>
      <w:pPr>
        <w:ind w:left="6507" w:hanging="180"/>
      </w:pPr>
    </w:lvl>
  </w:abstractNum>
  <w:abstractNum w:abstractNumId="10">
    <w:nsid w:val="0000000B"/>
    <w:multiLevelType w:val="hybridMultilevel"/>
    <w:tmpl w:val="FE14E4CC"/>
    <w:lvl w:ilvl="0" w:tplc="040C000F">
      <w:start w:val="1"/>
      <w:numFmt w:val="decimal"/>
      <w:lvlText w:val="%1."/>
      <w:lvlJc w:val="left"/>
      <w:pPr>
        <w:ind w:left="747" w:hanging="360"/>
      </w:pPr>
    </w:lvl>
    <w:lvl w:ilvl="1" w:tplc="040C0019" w:tentative="1">
      <w:start w:val="1"/>
      <w:numFmt w:val="lowerLetter"/>
      <w:lvlText w:val="%2."/>
      <w:lvlJc w:val="left"/>
      <w:pPr>
        <w:ind w:left="1467" w:hanging="360"/>
      </w:pPr>
    </w:lvl>
    <w:lvl w:ilvl="2" w:tplc="040C001B" w:tentative="1">
      <w:start w:val="1"/>
      <w:numFmt w:val="lowerRoman"/>
      <w:lvlText w:val="%3."/>
      <w:lvlJc w:val="right"/>
      <w:pPr>
        <w:ind w:left="2187" w:hanging="180"/>
      </w:pPr>
    </w:lvl>
    <w:lvl w:ilvl="3" w:tplc="040C000F" w:tentative="1">
      <w:start w:val="1"/>
      <w:numFmt w:val="decimal"/>
      <w:lvlText w:val="%4."/>
      <w:lvlJc w:val="left"/>
      <w:pPr>
        <w:ind w:left="2907" w:hanging="360"/>
      </w:pPr>
    </w:lvl>
    <w:lvl w:ilvl="4" w:tplc="040C0019" w:tentative="1">
      <w:start w:val="1"/>
      <w:numFmt w:val="lowerLetter"/>
      <w:lvlText w:val="%5."/>
      <w:lvlJc w:val="left"/>
      <w:pPr>
        <w:ind w:left="3627" w:hanging="360"/>
      </w:pPr>
    </w:lvl>
    <w:lvl w:ilvl="5" w:tplc="040C001B" w:tentative="1">
      <w:start w:val="1"/>
      <w:numFmt w:val="lowerRoman"/>
      <w:lvlText w:val="%6."/>
      <w:lvlJc w:val="right"/>
      <w:pPr>
        <w:ind w:left="4347" w:hanging="180"/>
      </w:pPr>
    </w:lvl>
    <w:lvl w:ilvl="6" w:tplc="040C000F" w:tentative="1">
      <w:start w:val="1"/>
      <w:numFmt w:val="decimal"/>
      <w:lvlText w:val="%7."/>
      <w:lvlJc w:val="left"/>
      <w:pPr>
        <w:ind w:left="5067" w:hanging="360"/>
      </w:pPr>
    </w:lvl>
    <w:lvl w:ilvl="7" w:tplc="040C0019" w:tentative="1">
      <w:start w:val="1"/>
      <w:numFmt w:val="lowerLetter"/>
      <w:lvlText w:val="%8."/>
      <w:lvlJc w:val="left"/>
      <w:pPr>
        <w:ind w:left="5787" w:hanging="360"/>
      </w:pPr>
    </w:lvl>
    <w:lvl w:ilvl="8" w:tplc="040C001B" w:tentative="1">
      <w:start w:val="1"/>
      <w:numFmt w:val="lowerRoman"/>
      <w:lvlText w:val="%9."/>
      <w:lvlJc w:val="right"/>
      <w:pPr>
        <w:ind w:left="6507" w:hanging="180"/>
      </w:pPr>
    </w:lvl>
  </w:abstractNum>
  <w:abstractNum w:abstractNumId="11">
    <w:nsid w:val="0000000C"/>
    <w:multiLevelType w:val="hybridMultilevel"/>
    <w:tmpl w:val="ADAAF2F8"/>
    <w:lvl w:ilvl="0" w:tplc="A54CDB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singleLevel"/>
    <w:tmpl w:val="11EA86DE"/>
    <w:lvl w:ilvl="0">
      <w:start w:val="6"/>
      <w:numFmt w:val="decimal"/>
      <w:lvlText w:val="%1."/>
      <w:lvlJc w:val="left"/>
      <w:rPr>
        <w:rFonts w:ascii="Times New Roman" w:hAnsi="Times New Roman" w:cs="Times New Roman" w:hint="default"/>
      </w:rPr>
    </w:lvl>
  </w:abstractNum>
  <w:abstractNum w:abstractNumId="13">
    <w:nsid w:val="0000000E"/>
    <w:multiLevelType w:val="hybridMultilevel"/>
    <w:tmpl w:val="7F044F08"/>
    <w:lvl w:ilvl="0" w:tplc="ED8A849A">
      <w:start w:val="2"/>
      <w:numFmt w:val="decimal"/>
      <w:lvlText w:val="%1"/>
      <w:lvlJc w:val="left"/>
      <w:pPr>
        <w:ind w:left="644" w:hanging="360"/>
      </w:pPr>
    </w:lvl>
    <w:lvl w:ilvl="1" w:tplc="040C0019">
      <w:start w:val="1"/>
      <w:numFmt w:val="decimal"/>
      <w:lvlText w:val="%2."/>
      <w:lvlJc w:val="left"/>
      <w:pPr>
        <w:tabs>
          <w:tab w:val="left" w:pos="1440"/>
        </w:tabs>
        <w:ind w:left="1440" w:hanging="360"/>
      </w:pPr>
    </w:lvl>
    <w:lvl w:ilvl="2" w:tplc="040C001B">
      <w:start w:val="1"/>
      <w:numFmt w:val="decimal"/>
      <w:lvlText w:val="%3."/>
      <w:lvlJc w:val="left"/>
      <w:pPr>
        <w:tabs>
          <w:tab w:val="left" w:pos="2160"/>
        </w:tabs>
        <w:ind w:left="2160" w:hanging="360"/>
      </w:pPr>
    </w:lvl>
    <w:lvl w:ilvl="3" w:tplc="040C000F">
      <w:start w:val="1"/>
      <w:numFmt w:val="decimal"/>
      <w:lvlText w:val="%4."/>
      <w:lvlJc w:val="left"/>
      <w:pPr>
        <w:tabs>
          <w:tab w:val="left" w:pos="2880"/>
        </w:tabs>
        <w:ind w:left="2880" w:hanging="360"/>
      </w:pPr>
    </w:lvl>
    <w:lvl w:ilvl="4" w:tplc="040C0019">
      <w:start w:val="1"/>
      <w:numFmt w:val="decimal"/>
      <w:lvlText w:val="%5."/>
      <w:lvlJc w:val="left"/>
      <w:pPr>
        <w:tabs>
          <w:tab w:val="left" w:pos="3600"/>
        </w:tabs>
        <w:ind w:left="3600" w:hanging="360"/>
      </w:pPr>
    </w:lvl>
    <w:lvl w:ilvl="5" w:tplc="040C001B">
      <w:start w:val="1"/>
      <w:numFmt w:val="decimal"/>
      <w:lvlText w:val="%6."/>
      <w:lvlJc w:val="left"/>
      <w:pPr>
        <w:tabs>
          <w:tab w:val="left" w:pos="4320"/>
        </w:tabs>
        <w:ind w:left="4320" w:hanging="360"/>
      </w:pPr>
    </w:lvl>
    <w:lvl w:ilvl="6" w:tplc="040C000F">
      <w:start w:val="1"/>
      <w:numFmt w:val="decimal"/>
      <w:lvlText w:val="%7."/>
      <w:lvlJc w:val="left"/>
      <w:pPr>
        <w:tabs>
          <w:tab w:val="left" w:pos="5040"/>
        </w:tabs>
        <w:ind w:left="5040" w:hanging="360"/>
      </w:pPr>
    </w:lvl>
    <w:lvl w:ilvl="7" w:tplc="040C0019">
      <w:start w:val="1"/>
      <w:numFmt w:val="decimal"/>
      <w:lvlText w:val="%8."/>
      <w:lvlJc w:val="left"/>
      <w:pPr>
        <w:tabs>
          <w:tab w:val="left" w:pos="5760"/>
        </w:tabs>
        <w:ind w:left="5760" w:hanging="360"/>
      </w:pPr>
    </w:lvl>
    <w:lvl w:ilvl="8" w:tplc="040C001B">
      <w:start w:val="1"/>
      <w:numFmt w:val="decimal"/>
      <w:lvlText w:val="%9."/>
      <w:lvlJc w:val="left"/>
      <w:pPr>
        <w:tabs>
          <w:tab w:val="left" w:pos="6480"/>
        </w:tabs>
        <w:ind w:left="6480" w:hanging="360"/>
      </w:pPr>
    </w:lvl>
  </w:abstractNum>
  <w:abstractNum w:abstractNumId="14">
    <w:nsid w:val="0000000F"/>
    <w:multiLevelType w:val="hybridMultilevel"/>
    <w:tmpl w:val="96E08B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FE14E4CC"/>
    <w:lvl w:ilvl="0" w:tplc="040C000F">
      <w:start w:val="1"/>
      <w:numFmt w:val="decimal"/>
      <w:lvlText w:val="%1."/>
      <w:lvlJc w:val="left"/>
      <w:pPr>
        <w:ind w:left="747" w:hanging="360"/>
      </w:pPr>
    </w:lvl>
    <w:lvl w:ilvl="1" w:tplc="040C0019" w:tentative="1">
      <w:start w:val="1"/>
      <w:numFmt w:val="lowerLetter"/>
      <w:lvlText w:val="%2."/>
      <w:lvlJc w:val="left"/>
      <w:pPr>
        <w:ind w:left="1467" w:hanging="360"/>
      </w:pPr>
    </w:lvl>
    <w:lvl w:ilvl="2" w:tplc="040C001B" w:tentative="1">
      <w:start w:val="1"/>
      <w:numFmt w:val="lowerRoman"/>
      <w:lvlText w:val="%3."/>
      <w:lvlJc w:val="right"/>
      <w:pPr>
        <w:ind w:left="2187" w:hanging="180"/>
      </w:pPr>
    </w:lvl>
    <w:lvl w:ilvl="3" w:tplc="040C000F" w:tentative="1">
      <w:start w:val="1"/>
      <w:numFmt w:val="decimal"/>
      <w:lvlText w:val="%4."/>
      <w:lvlJc w:val="left"/>
      <w:pPr>
        <w:ind w:left="2907" w:hanging="360"/>
      </w:pPr>
    </w:lvl>
    <w:lvl w:ilvl="4" w:tplc="040C0019" w:tentative="1">
      <w:start w:val="1"/>
      <w:numFmt w:val="lowerLetter"/>
      <w:lvlText w:val="%5."/>
      <w:lvlJc w:val="left"/>
      <w:pPr>
        <w:ind w:left="3627" w:hanging="360"/>
      </w:pPr>
    </w:lvl>
    <w:lvl w:ilvl="5" w:tplc="040C001B" w:tentative="1">
      <w:start w:val="1"/>
      <w:numFmt w:val="lowerRoman"/>
      <w:lvlText w:val="%6."/>
      <w:lvlJc w:val="right"/>
      <w:pPr>
        <w:ind w:left="4347" w:hanging="180"/>
      </w:pPr>
    </w:lvl>
    <w:lvl w:ilvl="6" w:tplc="040C000F" w:tentative="1">
      <w:start w:val="1"/>
      <w:numFmt w:val="decimal"/>
      <w:lvlText w:val="%7."/>
      <w:lvlJc w:val="left"/>
      <w:pPr>
        <w:ind w:left="5067" w:hanging="360"/>
      </w:pPr>
    </w:lvl>
    <w:lvl w:ilvl="7" w:tplc="040C0019" w:tentative="1">
      <w:start w:val="1"/>
      <w:numFmt w:val="lowerLetter"/>
      <w:lvlText w:val="%8."/>
      <w:lvlJc w:val="left"/>
      <w:pPr>
        <w:ind w:left="5787" w:hanging="360"/>
      </w:pPr>
    </w:lvl>
    <w:lvl w:ilvl="8" w:tplc="040C001B" w:tentative="1">
      <w:start w:val="1"/>
      <w:numFmt w:val="lowerRoman"/>
      <w:lvlText w:val="%9."/>
      <w:lvlJc w:val="right"/>
      <w:pPr>
        <w:ind w:left="6507" w:hanging="180"/>
      </w:pPr>
    </w:lvl>
  </w:abstractNum>
  <w:abstractNum w:abstractNumId="16">
    <w:nsid w:val="00000011"/>
    <w:multiLevelType w:val="singleLevel"/>
    <w:tmpl w:val="31F4AF0E"/>
    <w:lvl w:ilvl="0">
      <w:start w:val="2"/>
      <w:numFmt w:val="decimal"/>
      <w:lvlText w:val="%1."/>
      <w:lvlJc w:val="left"/>
      <w:rPr>
        <w:rFonts w:ascii="Arial" w:hAnsi="Arial" w:cs="Arial" w:hint="default"/>
      </w:rPr>
    </w:lvl>
  </w:abstractNum>
  <w:abstractNum w:abstractNumId="17">
    <w:nsid w:val="23FB1644"/>
    <w:multiLevelType w:val="hybridMultilevel"/>
    <w:tmpl w:val="21DEAB44"/>
    <w:lvl w:ilvl="0" w:tplc="7E00507C">
      <w:start w:val="1"/>
      <w:numFmt w:val="lowerRoman"/>
      <w:lvlText w:val="(%1)"/>
      <w:lvlJc w:val="left"/>
      <w:pPr>
        <w:ind w:left="780" w:hanging="720"/>
      </w:pPr>
      <w:rPr>
        <w:rFonts w:hint="default"/>
      </w:rPr>
    </w:lvl>
    <w:lvl w:ilvl="1" w:tplc="20000019" w:tentative="1">
      <w:start w:val="1"/>
      <w:numFmt w:val="lowerLetter"/>
      <w:lvlText w:val="%2."/>
      <w:lvlJc w:val="left"/>
      <w:pPr>
        <w:ind w:left="1140" w:hanging="360"/>
      </w:pPr>
    </w:lvl>
    <w:lvl w:ilvl="2" w:tplc="2000001B" w:tentative="1">
      <w:start w:val="1"/>
      <w:numFmt w:val="lowerRoman"/>
      <w:lvlText w:val="%3."/>
      <w:lvlJc w:val="right"/>
      <w:pPr>
        <w:ind w:left="1860" w:hanging="180"/>
      </w:pPr>
    </w:lvl>
    <w:lvl w:ilvl="3" w:tplc="2000000F" w:tentative="1">
      <w:start w:val="1"/>
      <w:numFmt w:val="decimal"/>
      <w:lvlText w:val="%4."/>
      <w:lvlJc w:val="left"/>
      <w:pPr>
        <w:ind w:left="2580" w:hanging="360"/>
      </w:pPr>
    </w:lvl>
    <w:lvl w:ilvl="4" w:tplc="20000019" w:tentative="1">
      <w:start w:val="1"/>
      <w:numFmt w:val="lowerLetter"/>
      <w:lvlText w:val="%5."/>
      <w:lvlJc w:val="left"/>
      <w:pPr>
        <w:ind w:left="3300" w:hanging="360"/>
      </w:pPr>
    </w:lvl>
    <w:lvl w:ilvl="5" w:tplc="2000001B" w:tentative="1">
      <w:start w:val="1"/>
      <w:numFmt w:val="lowerRoman"/>
      <w:lvlText w:val="%6."/>
      <w:lvlJc w:val="right"/>
      <w:pPr>
        <w:ind w:left="4020" w:hanging="180"/>
      </w:pPr>
    </w:lvl>
    <w:lvl w:ilvl="6" w:tplc="2000000F" w:tentative="1">
      <w:start w:val="1"/>
      <w:numFmt w:val="decimal"/>
      <w:lvlText w:val="%7."/>
      <w:lvlJc w:val="left"/>
      <w:pPr>
        <w:ind w:left="4740" w:hanging="360"/>
      </w:pPr>
    </w:lvl>
    <w:lvl w:ilvl="7" w:tplc="20000019" w:tentative="1">
      <w:start w:val="1"/>
      <w:numFmt w:val="lowerLetter"/>
      <w:lvlText w:val="%8."/>
      <w:lvlJc w:val="left"/>
      <w:pPr>
        <w:ind w:left="5460" w:hanging="360"/>
      </w:pPr>
    </w:lvl>
    <w:lvl w:ilvl="8" w:tplc="2000001B" w:tentative="1">
      <w:start w:val="1"/>
      <w:numFmt w:val="lowerRoman"/>
      <w:lvlText w:val="%9."/>
      <w:lvlJc w:val="right"/>
      <w:pPr>
        <w:ind w:left="6180" w:hanging="180"/>
      </w:pPr>
    </w:lvl>
  </w:abstractNum>
  <w:abstractNum w:abstractNumId="18">
    <w:nsid w:val="68792EC1"/>
    <w:multiLevelType w:val="hybridMultilevel"/>
    <w:tmpl w:val="4E128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16"/>
  </w:num>
  <w:num w:numId="6">
    <w:abstractNumId w:val="7"/>
  </w:num>
  <w:num w:numId="7">
    <w:abstractNumId w:val="12"/>
  </w:num>
  <w:num w:numId="8">
    <w:abstractNumId w:val="0"/>
  </w:num>
  <w:num w:numId="9">
    <w:abstractNumId w:val="8"/>
  </w:num>
  <w:num w:numId="10">
    <w:abstractNumId w:val="14"/>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6"/>
  </w:num>
  <w:num w:numId="15">
    <w:abstractNumId w:val="9"/>
  </w:num>
  <w:num w:numId="16">
    <w:abstractNumId w:val="18"/>
  </w:num>
  <w:num w:numId="17">
    <w:abstractNumId w:val="11"/>
  </w:num>
  <w:num w:numId="18">
    <w:abstractNumId w:val="3"/>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7C5"/>
    <w:rsid w:val="001A3DB8"/>
    <w:rsid w:val="002D234D"/>
    <w:rsid w:val="0053638C"/>
    <w:rsid w:val="005757A4"/>
    <w:rsid w:val="00596684"/>
    <w:rsid w:val="00634D2B"/>
    <w:rsid w:val="007678CD"/>
    <w:rsid w:val="00862D96"/>
    <w:rsid w:val="008B607C"/>
    <w:rsid w:val="008C24AC"/>
    <w:rsid w:val="008C55A5"/>
    <w:rsid w:val="00970795"/>
    <w:rsid w:val="009A5C1A"/>
    <w:rsid w:val="00A1754E"/>
    <w:rsid w:val="00A76575"/>
    <w:rsid w:val="00A864FF"/>
    <w:rsid w:val="00AD3A6E"/>
    <w:rsid w:val="00C40E87"/>
    <w:rsid w:val="00C52168"/>
    <w:rsid w:val="00C522A5"/>
    <w:rsid w:val="00E767C5"/>
    <w:rsid w:val="00F0619A"/>
    <w:rsid w:val="00F331D0"/>
    <w:rsid w:val="00F97CC8"/>
    <w:rsid w:val="00FB2F43"/>
    <w:rsid w:val="00FE65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7E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pPr>
      <w:widowControl w:val="0"/>
      <w:autoSpaceDE w:val="0"/>
      <w:autoSpaceDN w:val="0"/>
      <w:spacing w:after="0" w:line="265" w:lineRule="exact"/>
      <w:ind w:left="135"/>
      <w:outlineLvl w:val="2"/>
    </w:pPr>
    <w:rPr>
      <w:rFonts w:ascii="Tahoma" w:eastAsia="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Pr>
      <w:rFonts w:ascii="Cambria" w:eastAsia="MS Gothic" w:hAnsi="Cambria" w:cs="SimSun"/>
      <w:color w:val="17365D"/>
      <w:spacing w:val="5"/>
      <w:kern w:val="28"/>
      <w:sz w:val="52"/>
      <w:szCs w:val="52"/>
    </w:rPr>
  </w:style>
  <w:style w:type="paragraph" w:styleId="ListParagraph">
    <w:name w:val="List Paragraph"/>
    <w:basedOn w:val="Normal"/>
    <w:link w:val="ListParagraphChar"/>
    <w:uiPriority w:val="34"/>
    <w:qFormat/>
    <w:pPr>
      <w:ind w:left="720"/>
      <w:contextualSpacing/>
    </w:pPr>
  </w:style>
  <w:style w:type="paragraph" w:customStyle="1" w:styleId="RequirementsList">
    <w:name w:val="Requirements List"/>
    <w:basedOn w:val="Normal"/>
    <w:pPr>
      <w:numPr>
        <w:numId w:val="1"/>
      </w:numPr>
      <w:spacing w:before="100" w:after="100" w:line="288" w:lineRule="auto"/>
    </w:pPr>
    <w:rPr>
      <w:rFonts w:ascii="Tahoma" w:eastAsia="Times New Roman" w:hAnsi="Tahoma" w:cs="Times New Roman"/>
      <w:sz w:val="16"/>
      <w:szCs w:val="24"/>
      <w:lang w:val="en-US"/>
    </w:rPr>
  </w:style>
  <w:style w:type="character" w:customStyle="1" w:styleId="ListParagraphChar">
    <w:name w:val="List Paragraph Char"/>
    <w:link w:val="ListParagraph"/>
    <w:uiPriority w:val="34"/>
    <w:qFormat/>
  </w:style>
  <w:style w:type="character" w:styleId="Hyperlink">
    <w:name w:val="Hyperlink"/>
    <w:uiPriority w:val="99"/>
    <w:rPr>
      <w:rFonts w:cs="Times New Roman"/>
      <w:color w:val="0000FF"/>
      <w:u w:val="single"/>
    </w:rPr>
  </w:style>
  <w:style w:type="table" w:styleId="TableGrid">
    <w:name w:val="Table Grid"/>
    <w:basedOn w:val="TableNormal"/>
    <w:uiPriority w:val="59"/>
    <w:pPr>
      <w:spacing w:after="0" w:line="240" w:lineRule="auto"/>
    </w:pPr>
    <w:rPr>
      <w:rFonts w:eastAsia="MS Mincho"/>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1">
    <w:name w:val="nowrap1"/>
    <w:basedOn w:val="DefaultParagraphFont"/>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Heading3Char">
    <w:name w:val="Heading 3 Char"/>
    <w:basedOn w:val="DefaultParagraphFont"/>
    <w:link w:val="Heading3"/>
    <w:uiPriority w:val="1"/>
    <w:rPr>
      <w:rFonts w:ascii="Tahoma" w:eastAsia="Tahoma" w:hAnsi="Tahoma" w:cs="Tahoma"/>
      <w:b/>
      <w:bCs/>
      <w:lang w:val="en-US"/>
    </w:rPr>
  </w:style>
  <w:style w:type="paragraph" w:styleId="BodyText">
    <w:name w:val="Body Text"/>
    <w:basedOn w:val="Normal"/>
    <w:link w:val="BodyTextChar"/>
    <w:uiPriority w:val="1"/>
    <w:qFormat/>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Pr>
      <w:rFonts w:ascii="Tahoma" w:eastAsia="Tahoma" w:hAnsi="Tahoma" w:cs="Tahoma"/>
      <w:lang w:val="en-US"/>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Revision">
    <w:name w:val="Revision"/>
    <w:uiPriority w:val="99"/>
    <w:pPr>
      <w:spacing w:after="0" w:line="240" w:lineRule="auto"/>
    </w:p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unhideWhenUsed/>
    <w:qFormat/>
    <w:pPr>
      <w:widowControl w:val="0"/>
      <w:autoSpaceDE w:val="0"/>
      <w:autoSpaceDN w:val="0"/>
      <w:spacing w:after="0" w:line="265" w:lineRule="exact"/>
      <w:ind w:left="135"/>
      <w:outlineLvl w:val="2"/>
    </w:pPr>
    <w:rPr>
      <w:rFonts w:ascii="Tahoma" w:eastAsia="Tahoma" w:hAnsi="Tahoma" w:cs="Tahom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pBdr>
      <w:spacing w:after="300" w:line="240" w:lineRule="auto"/>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Pr>
      <w:rFonts w:ascii="Cambria" w:eastAsia="MS Gothic" w:hAnsi="Cambria" w:cs="SimSun"/>
      <w:color w:val="17365D"/>
      <w:spacing w:val="5"/>
      <w:kern w:val="28"/>
      <w:sz w:val="52"/>
      <w:szCs w:val="52"/>
    </w:rPr>
  </w:style>
  <w:style w:type="paragraph" w:styleId="ListParagraph">
    <w:name w:val="List Paragraph"/>
    <w:basedOn w:val="Normal"/>
    <w:link w:val="ListParagraphChar"/>
    <w:uiPriority w:val="34"/>
    <w:qFormat/>
    <w:pPr>
      <w:ind w:left="720"/>
      <w:contextualSpacing/>
    </w:pPr>
  </w:style>
  <w:style w:type="paragraph" w:customStyle="1" w:styleId="RequirementsList">
    <w:name w:val="Requirements List"/>
    <w:basedOn w:val="Normal"/>
    <w:pPr>
      <w:numPr>
        <w:numId w:val="1"/>
      </w:numPr>
      <w:spacing w:before="100" w:after="100" w:line="288" w:lineRule="auto"/>
    </w:pPr>
    <w:rPr>
      <w:rFonts w:ascii="Tahoma" w:eastAsia="Times New Roman" w:hAnsi="Tahoma" w:cs="Times New Roman"/>
      <w:sz w:val="16"/>
      <w:szCs w:val="24"/>
      <w:lang w:val="en-US"/>
    </w:rPr>
  </w:style>
  <w:style w:type="character" w:customStyle="1" w:styleId="ListParagraphChar">
    <w:name w:val="List Paragraph Char"/>
    <w:link w:val="ListParagraph"/>
    <w:uiPriority w:val="34"/>
    <w:qFormat/>
  </w:style>
  <w:style w:type="character" w:styleId="Hyperlink">
    <w:name w:val="Hyperlink"/>
    <w:uiPriority w:val="99"/>
    <w:rPr>
      <w:rFonts w:cs="Times New Roman"/>
      <w:color w:val="0000FF"/>
      <w:u w:val="single"/>
    </w:rPr>
  </w:style>
  <w:style w:type="table" w:styleId="TableGrid">
    <w:name w:val="Table Grid"/>
    <w:basedOn w:val="TableNormal"/>
    <w:uiPriority w:val="59"/>
    <w:pPr>
      <w:spacing w:after="0" w:line="240" w:lineRule="auto"/>
    </w:pPr>
    <w:rPr>
      <w:rFonts w:eastAsia="MS Mincho"/>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wrap1">
    <w:name w:val="nowrap1"/>
    <w:basedOn w:val="DefaultParagraphFont"/>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rPr>
      <w:vertAlign w:val="superscript"/>
    </w:rPr>
  </w:style>
  <w:style w:type="character" w:customStyle="1" w:styleId="Heading3Char">
    <w:name w:val="Heading 3 Char"/>
    <w:basedOn w:val="DefaultParagraphFont"/>
    <w:link w:val="Heading3"/>
    <w:uiPriority w:val="1"/>
    <w:rPr>
      <w:rFonts w:ascii="Tahoma" w:eastAsia="Tahoma" w:hAnsi="Tahoma" w:cs="Tahoma"/>
      <w:b/>
      <w:bCs/>
      <w:lang w:val="en-US"/>
    </w:rPr>
  </w:style>
  <w:style w:type="paragraph" w:styleId="BodyText">
    <w:name w:val="Body Text"/>
    <w:basedOn w:val="Normal"/>
    <w:link w:val="BodyTextChar"/>
    <w:uiPriority w:val="1"/>
    <w:qFormat/>
    <w:pPr>
      <w:widowControl w:val="0"/>
      <w:autoSpaceDE w:val="0"/>
      <w:autoSpaceDN w:val="0"/>
      <w:spacing w:after="0" w:line="240" w:lineRule="auto"/>
    </w:pPr>
    <w:rPr>
      <w:rFonts w:ascii="Tahoma" w:eastAsia="Tahoma" w:hAnsi="Tahoma" w:cs="Tahoma"/>
      <w:lang w:val="en-US"/>
    </w:rPr>
  </w:style>
  <w:style w:type="character" w:customStyle="1" w:styleId="BodyTextChar">
    <w:name w:val="Body Text Char"/>
    <w:basedOn w:val="DefaultParagraphFont"/>
    <w:link w:val="BodyText"/>
    <w:uiPriority w:val="1"/>
    <w:rPr>
      <w:rFonts w:ascii="Tahoma" w:eastAsia="Tahoma" w:hAnsi="Tahoma" w:cs="Tahoma"/>
      <w:lang w:val="en-US"/>
    </w:rPr>
  </w:style>
  <w:style w:type="character" w:styleId="CommentReference">
    <w:name w:val="annotation reference"/>
    <w:basedOn w:val="DefaultParagraphFont"/>
    <w:uiPriority w:val="99"/>
    <w:rPr>
      <w:sz w:val="18"/>
      <w:szCs w:val="18"/>
    </w:rPr>
  </w:style>
  <w:style w:type="paragraph" w:styleId="CommentText">
    <w:name w:val="annotation text"/>
    <w:basedOn w:val="Normal"/>
    <w:link w:val="CommentTextChar"/>
    <w:uiPriority w:val="99"/>
    <w:pPr>
      <w:spacing w:line="240" w:lineRule="auto"/>
    </w:pPr>
    <w:rPr>
      <w:sz w:val="24"/>
      <w:szCs w:val="24"/>
    </w:rPr>
  </w:style>
  <w:style w:type="character" w:customStyle="1" w:styleId="CommentTextChar">
    <w:name w:val="Comment Text Char"/>
    <w:basedOn w:val="DefaultParagraphFont"/>
    <w:link w:val="CommentText"/>
    <w:uiPriority w:val="99"/>
    <w:rPr>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b/>
      <w:bCs/>
      <w:sz w:val="20"/>
      <w:szCs w:val="20"/>
    </w:rPr>
  </w:style>
  <w:style w:type="paragraph" w:styleId="BalloonText">
    <w:name w:val="Balloon Text"/>
    <w:basedOn w:val="Normal"/>
    <w:link w:val="BalloonTextChar"/>
    <w:uiPriority w:val="9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rPr>
  </w:style>
  <w:style w:type="paragraph" w:styleId="Revision">
    <w:name w:val="Revision"/>
    <w:uiPriority w:val="99"/>
    <w:pPr>
      <w:spacing w:after="0" w:line="240" w:lineRule="auto"/>
    </w:p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pPr>
      <w:tabs>
        <w:tab w:val="center" w:pos="4153"/>
        <w:tab w:val="right" w:pos="830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153"/>
        <w:tab w:val="right" w:pos="830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kourouma7@yahoo.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riaden@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riaden@gmail.com" TargetMode="External"/><Relationship Id="rId5" Type="http://schemas.openxmlformats.org/officeDocument/2006/relationships/settings" Target="settings.xml"/><Relationship Id="rId15" Type="http://schemas.openxmlformats.org/officeDocument/2006/relationships/hyperlink" Target="mailto:cecideomc@yahoo.fr"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boubacardiallog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FF12-C057-410B-B200-4350894A6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6237</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dc:creator>
  <cp:lastModifiedBy>Windows User</cp:lastModifiedBy>
  <cp:revision>2</cp:revision>
  <dcterms:created xsi:type="dcterms:W3CDTF">2020-09-07T04:55:00Z</dcterms:created>
  <dcterms:modified xsi:type="dcterms:W3CDTF">2020-09-07T04:55:00Z</dcterms:modified>
</cp:coreProperties>
</file>