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F9" w:rsidRDefault="004D0CF9" w:rsidP="001B24D9">
      <w:pPr>
        <w:spacing w:before="120" w:after="120" w:line="240" w:lineRule="auto"/>
        <w:jc w:val="center"/>
        <w:rPr>
          <w:rFonts w:ascii="Segoe UI" w:hAnsi="Segoe UI" w:cs="Segoe UI"/>
          <w:b/>
          <w:color w:val="0070C0"/>
          <w:sz w:val="24"/>
          <w:szCs w:val="21"/>
        </w:rPr>
      </w:pPr>
    </w:p>
    <w:p w:rsidR="001B24D9" w:rsidRPr="002B2F5F" w:rsidRDefault="003E4156" w:rsidP="001B24D9">
      <w:pPr>
        <w:spacing w:before="120" w:after="120" w:line="240" w:lineRule="auto"/>
        <w:jc w:val="center"/>
        <w:rPr>
          <w:rFonts w:ascii="Segoe UI" w:hAnsi="Segoe UI" w:cs="Segoe UI"/>
          <w:b/>
          <w:color w:val="0070C0"/>
          <w:sz w:val="24"/>
          <w:szCs w:val="21"/>
        </w:rPr>
      </w:pPr>
      <w:r w:rsidRPr="003E4156">
        <w:rPr>
          <w:rFonts w:ascii="Segoe UI" w:hAnsi="Segoe UI" w:cs="Segoe UI"/>
          <w:b/>
          <w:color w:val="0070C0"/>
          <w:sz w:val="24"/>
          <w:szCs w:val="21"/>
        </w:rPr>
        <w:t>Projet conjoint UE-FMI</w:t>
      </w:r>
    </w:p>
    <w:p w:rsidR="001B24D9" w:rsidRPr="002B2F5F" w:rsidRDefault="003E4156" w:rsidP="001B24D9">
      <w:pPr>
        <w:spacing w:before="120" w:after="120" w:line="240" w:lineRule="auto"/>
        <w:jc w:val="center"/>
        <w:rPr>
          <w:rFonts w:ascii="Segoe UI" w:hAnsi="Segoe UI" w:cs="Segoe UI"/>
          <w:b/>
          <w:i/>
          <w:color w:val="0070C0"/>
          <w:szCs w:val="21"/>
        </w:rPr>
      </w:pPr>
      <w:r w:rsidRPr="003E4156">
        <w:rPr>
          <w:rFonts w:ascii="Segoe UI" w:hAnsi="Segoe UI" w:cs="Segoe UI"/>
          <w:b/>
          <w:i/>
          <w:color w:val="0070C0"/>
          <w:szCs w:val="21"/>
        </w:rPr>
        <w:t>« Exécution et contrôle budgétaires, Gestion de la trésorerie, Comptabilité de l’Etat et Risques budgétaires »</w:t>
      </w:r>
    </w:p>
    <w:tbl>
      <w:tblPr>
        <w:tblStyle w:val="Grilledutableau"/>
        <w:tblW w:w="8844" w:type="dxa"/>
        <w:jc w:val="center"/>
        <w:tblBorders>
          <w:top w:val="thinThickMediumGap" w:sz="36" w:space="0" w:color="auto"/>
          <w:left w:val="thinThickMediumGap" w:sz="36" w:space="0" w:color="auto"/>
          <w:bottom w:val="thickThinMediumGap" w:sz="36" w:space="0" w:color="auto"/>
          <w:right w:val="thickThinMediumGap" w:sz="36" w:space="0" w:color="auto"/>
          <w:insideH w:val="none" w:sz="0" w:space="0" w:color="auto"/>
          <w:insideV w:val="none" w:sz="0" w:space="0" w:color="auto"/>
        </w:tblBorders>
        <w:tblLook w:val="04A0"/>
      </w:tblPr>
      <w:tblGrid>
        <w:gridCol w:w="3164"/>
        <w:gridCol w:w="3061"/>
        <w:gridCol w:w="2619"/>
      </w:tblGrid>
      <w:tr w:rsidR="001B24D9" w:rsidTr="002B2F5F">
        <w:trPr>
          <w:trHeight w:val="964"/>
          <w:jc w:val="center"/>
        </w:trPr>
        <w:tc>
          <w:tcPr>
            <w:tcW w:w="3164" w:type="dxa"/>
            <w:vAlign w:val="center"/>
          </w:tcPr>
          <w:p w:rsidR="001B24D9" w:rsidRDefault="001B24D9" w:rsidP="00C108F9">
            <w:pPr>
              <w:spacing w:after="0"/>
            </w:pPr>
            <w:r>
              <w:rPr>
                <w:noProof/>
              </w:rPr>
              <w:drawing>
                <wp:inline distT="0" distB="0" distL="0" distR="0">
                  <wp:extent cx="831850" cy="533400"/>
                  <wp:effectExtent l="0" t="0" r="63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839603" cy="538371"/>
                          </a:xfrm>
                          <a:prstGeom prst="rect">
                            <a:avLst/>
                          </a:prstGeom>
                          <a:noFill/>
                          <a:ln w="9525">
                            <a:noFill/>
                            <a:miter lim="800000"/>
                            <a:headEnd/>
                            <a:tailEnd/>
                          </a:ln>
                        </pic:spPr>
                      </pic:pic>
                    </a:graphicData>
                  </a:graphic>
                </wp:inline>
              </w:drawing>
            </w:r>
          </w:p>
        </w:tc>
        <w:tc>
          <w:tcPr>
            <w:tcW w:w="3061" w:type="dxa"/>
            <w:vAlign w:val="center"/>
          </w:tcPr>
          <w:p w:rsidR="001B24D9" w:rsidRDefault="001B24D9" w:rsidP="00C108F9">
            <w:pPr>
              <w:spacing w:after="0"/>
              <w:jc w:val="center"/>
            </w:pPr>
            <w:r>
              <w:rPr>
                <w:b/>
                <w:noProof/>
              </w:rPr>
              <w:drawing>
                <wp:inline distT="0" distB="0" distL="0" distR="0">
                  <wp:extent cx="609600" cy="640080"/>
                  <wp:effectExtent l="1905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cstate="print"/>
                          <a:srcRect/>
                          <a:stretch>
                            <a:fillRect/>
                          </a:stretch>
                        </pic:blipFill>
                        <pic:spPr bwMode="auto">
                          <a:xfrm>
                            <a:off x="0" y="0"/>
                            <a:ext cx="609600" cy="640080"/>
                          </a:xfrm>
                          <a:prstGeom prst="rect">
                            <a:avLst/>
                          </a:prstGeom>
                          <a:noFill/>
                          <a:ln w="9525">
                            <a:noFill/>
                            <a:miter lim="800000"/>
                            <a:headEnd/>
                            <a:tailEnd/>
                          </a:ln>
                        </pic:spPr>
                      </pic:pic>
                    </a:graphicData>
                  </a:graphic>
                </wp:inline>
              </w:drawing>
            </w:r>
          </w:p>
        </w:tc>
        <w:tc>
          <w:tcPr>
            <w:tcW w:w="2619" w:type="dxa"/>
            <w:vAlign w:val="center"/>
          </w:tcPr>
          <w:p w:rsidR="001B24D9" w:rsidRDefault="001B24D9" w:rsidP="00C108F9">
            <w:pPr>
              <w:spacing w:after="0"/>
              <w:jc w:val="right"/>
            </w:pPr>
            <w:r>
              <w:rPr>
                <w:b/>
                <w:noProof/>
              </w:rPr>
              <w:drawing>
                <wp:inline distT="0" distB="0" distL="0" distR="0">
                  <wp:extent cx="628650" cy="62865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r>
    </w:tbl>
    <w:p w:rsidR="004D0CF9" w:rsidRDefault="004D0CF9" w:rsidP="004D0CF9">
      <w:pPr>
        <w:jc w:val="both"/>
        <w:rPr>
          <w:rFonts w:ascii="Arial" w:hAnsi="Arial" w:cs="Arial"/>
          <w:sz w:val="20"/>
          <w:szCs w:val="20"/>
        </w:rPr>
      </w:pPr>
    </w:p>
    <w:p w:rsidR="004D0CF9" w:rsidRPr="00EF6388" w:rsidRDefault="004D0CF9" w:rsidP="004D0CF9">
      <w:pPr>
        <w:jc w:val="center"/>
        <w:rPr>
          <w:rFonts w:ascii="Arial" w:hAnsi="Arial" w:cs="Arial"/>
          <w:b/>
          <w:sz w:val="24"/>
          <w:szCs w:val="20"/>
        </w:rPr>
      </w:pPr>
      <w:r w:rsidRPr="00EF6388">
        <w:rPr>
          <w:rFonts w:ascii="Arial" w:hAnsi="Arial" w:cs="Arial"/>
          <w:b/>
          <w:sz w:val="24"/>
          <w:szCs w:val="20"/>
        </w:rPr>
        <w:t>COMMUNIQUE DE PRESSE</w:t>
      </w:r>
    </w:p>
    <w:p w:rsidR="005537B0" w:rsidRDefault="004D0CF9">
      <w:pPr>
        <w:jc w:val="both"/>
        <w:rPr>
          <w:rFonts w:ascii="Arial" w:hAnsi="Arial" w:cs="Arial"/>
          <w:b/>
          <w:szCs w:val="20"/>
        </w:rPr>
      </w:pPr>
      <w:r w:rsidRPr="0013704E">
        <w:rPr>
          <w:rFonts w:ascii="Arial" w:hAnsi="Arial" w:cs="Arial"/>
          <w:b/>
          <w:szCs w:val="20"/>
        </w:rPr>
        <w:t>Projet d’appui à la Ge</w:t>
      </w:r>
      <w:r w:rsidR="0013704E" w:rsidRPr="0013704E">
        <w:rPr>
          <w:rFonts w:ascii="Arial" w:hAnsi="Arial" w:cs="Arial"/>
          <w:b/>
          <w:szCs w:val="20"/>
        </w:rPr>
        <w:t>stion des finances publiques : d</w:t>
      </w:r>
      <w:r w:rsidRPr="0013704E">
        <w:rPr>
          <w:rFonts w:ascii="Arial" w:hAnsi="Arial" w:cs="Arial"/>
          <w:b/>
          <w:szCs w:val="20"/>
        </w:rPr>
        <w:t xml:space="preserve">es résultats 2020 </w:t>
      </w:r>
      <w:r w:rsidR="005B6B77">
        <w:rPr>
          <w:rFonts w:ascii="Arial" w:hAnsi="Arial" w:cs="Arial"/>
          <w:b/>
          <w:szCs w:val="20"/>
        </w:rPr>
        <w:t>satisfaisants</w:t>
      </w:r>
      <w:r w:rsidR="001A020A">
        <w:rPr>
          <w:rFonts w:ascii="Arial" w:hAnsi="Arial" w:cs="Arial"/>
          <w:b/>
          <w:szCs w:val="20"/>
        </w:rPr>
        <w:t xml:space="preserve"> </w:t>
      </w:r>
      <w:r w:rsidR="0013704E" w:rsidRPr="0013704E">
        <w:rPr>
          <w:rFonts w:ascii="Arial" w:hAnsi="Arial" w:cs="Arial"/>
          <w:b/>
          <w:szCs w:val="20"/>
        </w:rPr>
        <w:t>et d</w:t>
      </w:r>
      <w:r w:rsidRPr="0013704E">
        <w:rPr>
          <w:rFonts w:ascii="Arial" w:hAnsi="Arial" w:cs="Arial"/>
          <w:b/>
          <w:szCs w:val="20"/>
        </w:rPr>
        <w:t xml:space="preserve">es perspectives 2021 </w:t>
      </w:r>
      <w:r w:rsidR="005B6B77">
        <w:rPr>
          <w:rFonts w:ascii="Arial" w:hAnsi="Arial" w:cs="Arial"/>
          <w:b/>
          <w:szCs w:val="20"/>
        </w:rPr>
        <w:t xml:space="preserve">ambitieuses </w:t>
      </w:r>
      <w:r w:rsidRPr="0013704E">
        <w:rPr>
          <w:rFonts w:ascii="Arial" w:hAnsi="Arial" w:cs="Arial"/>
          <w:b/>
          <w:szCs w:val="20"/>
        </w:rPr>
        <w:t>au service d’un partenariat UE-FMI</w:t>
      </w:r>
      <w:r w:rsidR="0013704E" w:rsidRPr="0013704E">
        <w:rPr>
          <w:rFonts w:ascii="Arial" w:hAnsi="Arial" w:cs="Arial"/>
          <w:b/>
          <w:szCs w:val="20"/>
        </w:rPr>
        <w:t xml:space="preserve"> renouvelé avec la Guinée.</w:t>
      </w:r>
    </w:p>
    <w:p w:rsidR="005537B0" w:rsidRDefault="0013704E">
      <w:pPr>
        <w:jc w:val="both"/>
        <w:rPr>
          <w:rFonts w:ascii="Arial" w:hAnsi="Arial" w:cs="Arial"/>
          <w:sz w:val="20"/>
          <w:szCs w:val="20"/>
        </w:rPr>
      </w:pPr>
      <w:r>
        <w:rPr>
          <w:rFonts w:ascii="Arial" w:hAnsi="Arial" w:cs="Arial"/>
          <w:sz w:val="20"/>
          <w:szCs w:val="20"/>
        </w:rPr>
        <w:t>Ce 17 février</w:t>
      </w:r>
      <w:r w:rsidR="004D0CF9" w:rsidRPr="00464905">
        <w:rPr>
          <w:rFonts w:ascii="Arial" w:hAnsi="Arial" w:cs="Arial"/>
          <w:sz w:val="20"/>
          <w:szCs w:val="20"/>
        </w:rPr>
        <w:t xml:space="preserve"> 20</w:t>
      </w:r>
      <w:r>
        <w:rPr>
          <w:rFonts w:ascii="Arial" w:hAnsi="Arial" w:cs="Arial"/>
          <w:sz w:val="20"/>
          <w:szCs w:val="20"/>
        </w:rPr>
        <w:t>21,</w:t>
      </w:r>
      <w:r w:rsidR="00944525">
        <w:rPr>
          <w:rFonts w:ascii="Arial" w:hAnsi="Arial" w:cs="Arial"/>
          <w:sz w:val="20"/>
          <w:szCs w:val="20"/>
        </w:rPr>
        <w:t xml:space="preserve"> par visioconférence,</w:t>
      </w:r>
      <w:r>
        <w:rPr>
          <w:rFonts w:ascii="Arial" w:hAnsi="Arial" w:cs="Arial"/>
          <w:sz w:val="20"/>
          <w:szCs w:val="20"/>
        </w:rPr>
        <w:t xml:space="preserve"> le Ministre de l’Economie et des finances, </w:t>
      </w:r>
      <w:r w:rsidR="0080497B">
        <w:rPr>
          <w:rFonts w:ascii="Arial" w:hAnsi="Arial" w:cs="Arial"/>
          <w:sz w:val="20"/>
          <w:szCs w:val="20"/>
        </w:rPr>
        <w:t xml:space="preserve">Monsieur </w:t>
      </w:r>
      <w:proofErr w:type="spellStart"/>
      <w:r>
        <w:rPr>
          <w:rFonts w:ascii="Arial" w:hAnsi="Arial" w:cs="Arial"/>
          <w:sz w:val="20"/>
          <w:szCs w:val="20"/>
        </w:rPr>
        <w:t>Mamadi</w:t>
      </w:r>
      <w:proofErr w:type="spellEnd"/>
      <w:r>
        <w:rPr>
          <w:rFonts w:ascii="Arial" w:hAnsi="Arial" w:cs="Arial"/>
          <w:sz w:val="20"/>
          <w:szCs w:val="20"/>
        </w:rPr>
        <w:t xml:space="preserve"> Camara a </w:t>
      </w:r>
      <w:r w:rsidR="00944525">
        <w:rPr>
          <w:rFonts w:ascii="Arial" w:hAnsi="Arial" w:cs="Arial"/>
          <w:sz w:val="20"/>
          <w:szCs w:val="20"/>
        </w:rPr>
        <w:t>o</w:t>
      </w:r>
      <w:r w:rsidR="004D0CF9">
        <w:rPr>
          <w:rFonts w:ascii="Arial" w:hAnsi="Arial" w:cs="Arial"/>
          <w:sz w:val="20"/>
          <w:szCs w:val="20"/>
        </w:rPr>
        <w:t xml:space="preserve">uvert la session </w:t>
      </w:r>
      <w:r w:rsidR="00944525">
        <w:rPr>
          <w:rFonts w:ascii="Arial" w:hAnsi="Arial" w:cs="Arial"/>
          <w:sz w:val="20"/>
          <w:szCs w:val="20"/>
        </w:rPr>
        <w:t xml:space="preserve">du Comité de pilotage du projet conjoint UE-FMI </w:t>
      </w:r>
      <w:r w:rsidR="00725925">
        <w:rPr>
          <w:rFonts w:ascii="Arial" w:hAnsi="Arial" w:cs="Arial"/>
          <w:sz w:val="20"/>
          <w:szCs w:val="20"/>
        </w:rPr>
        <w:t>« </w:t>
      </w:r>
      <w:r w:rsidR="004D0CF9" w:rsidRPr="009652D0">
        <w:rPr>
          <w:rFonts w:ascii="Arial" w:hAnsi="Arial" w:cs="Arial"/>
          <w:i/>
          <w:sz w:val="20"/>
          <w:szCs w:val="20"/>
        </w:rPr>
        <w:t xml:space="preserve">en évoquant les relations fortes établies </w:t>
      </w:r>
      <w:r w:rsidR="00944525" w:rsidRPr="009652D0">
        <w:rPr>
          <w:rFonts w:ascii="Arial" w:hAnsi="Arial" w:cs="Arial"/>
          <w:i/>
          <w:sz w:val="20"/>
          <w:szCs w:val="20"/>
        </w:rPr>
        <w:t>par les deux partenaires, l’Union européenne et le FMI</w:t>
      </w:r>
      <w:r w:rsidR="00725925">
        <w:rPr>
          <w:rFonts w:ascii="Arial" w:hAnsi="Arial" w:cs="Arial"/>
          <w:i/>
          <w:sz w:val="20"/>
          <w:szCs w:val="20"/>
        </w:rPr>
        <w:t>,</w:t>
      </w:r>
      <w:r w:rsidR="00944525" w:rsidRPr="009652D0">
        <w:rPr>
          <w:rFonts w:ascii="Arial" w:hAnsi="Arial" w:cs="Arial"/>
          <w:i/>
          <w:sz w:val="20"/>
          <w:szCs w:val="20"/>
        </w:rPr>
        <w:t xml:space="preserve"> pour appuyer la Guinée dans la gestion des finances publiques</w:t>
      </w:r>
      <w:r w:rsidR="00944525">
        <w:rPr>
          <w:rFonts w:ascii="Arial" w:hAnsi="Arial" w:cs="Arial"/>
          <w:sz w:val="20"/>
          <w:szCs w:val="20"/>
        </w:rPr>
        <w:t>.</w:t>
      </w:r>
      <w:r w:rsidR="009652D0">
        <w:rPr>
          <w:rFonts w:ascii="Arial" w:hAnsi="Arial" w:cs="Arial"/>
          <w:sz w:val="20"/>
          <w:szCs w:val="20"/>
        </w:rPr>
        <w:t xml:space="preserve"> Le Ministre a également « </w:t>
      </w:r>
      <w:r w:rsidR="009652D0" w:rsidRPr="009652D0">
        <w:rPr>
          <w:rFonts w:ascii="Arial" w:hAnsi="Arial" w:cs="Arial"/>
          <w:i/>
          <w:sz w:val="20"/>
          <w:szCs w:val="20"/>
        </w:rPr>
        <w:t xml:space="preserve">souligné que l’année 2020 marquée par la survenance de la pandémie de la </w:t>
      </w:r>
      <w:proofErr w:type="spellStart"/>
      <w:r w:rsidR="0013685E" w:rsidRPr="009652D0">
        <w:rPr>
          <w:rFonts w:ascii="Arial" w:hAnsi="Arial" w:cs="Arial"/>
          <w:i/>
          <w:sz w:val="20"/>
          <w:szCs w:val="20"/>
        </w:rPr>
        <w:t>C</w:t>
      </w:r>
      <w:r w:rsidR="0013685E">
        <w:rPr>
          <w:rFonts w:ascii="Arial" w:hAnsi="Arial" w:cs="Arial"/>
          <w:i/>
          <w:sz w:val="20"/>
          <w:szCs w:val="20"/>
        </w:rPr>
        <w:t>ovid</w:t>
      </w:r>
      <w:proofErr w:type="spellEnd"/>
      <w:r w:rsidR="0013685E" w:rsidRPr="009652D0">
        <w:rPr>
          <w:rFonts w:ascii="Arial" w:hAnsi="Arial" w:cs="Arial"/>
          <w:i/>
          <w:sz w:val="20"/>
          <w:szCs w:val="20"/>
        </w:rPr>
        <w:t xml:space="preserve"> </w:t>
      </w:r>
      <w:r w:rsidR="009652D0" w:rsidRPr="009652D0">
        <w:rPr>
          <w:rFonts w:ascii="Arial" w:hAnsi="Arial" w:cs="Arial"/>
          <w:i/>
          <w:sz w:val="20"/>
          <w:szCs w:val="20"/>
        </w:rPr>
        <w:t>19</w:t>
      </w:r>
      <w:r w:rsidR="00725925">
        <w:rPr>
          <w:rFonts w:ascii="Arial" w:hAnsi="Arial" w:cs="Arial"/>
          <w:i/>
          <w:sz w:val="20"/>
          <w:szCs w:val="20"/>
        </w:rPr>
        <w:t xml:space="preserve"> </w:t>
      </w:r>
      <w:r w:rsidR="009652D0" w:rsidRPr="009652D0">
        <w:rPr>
          <w:rFonts w:ascii="Arial" w:hAnsi="Arial" w:cs="Arial"/>
          <w:i/>
          <w:sz w:val="20"/>
          <w:szCs w:val="20"/>
        </w:rPr>
        <w:t xml:space="preserve">n’a pas empêché de nombreuses réalisations dans les domaines budgétaire et comptable </w:t>
      </w:r>
      <w:r w:rsidR="00725925">
        <w:rPr>
          <w:rFonts w:ascii="Arial" w:hAnsi="Arial" w:cs="Arial"/>
          <w:i/>
          <w:sz w:val="20"/>
          <w:szCs w:val="20"/>
        </w:rPr>
        <w:t xml:space="preserve">dont il </w:t>
      </w:r>
      <w:r w:rsidR="009652D0" w:rsidRPr="009652D0">
        <w:rPr>
          <w:rFonts w:ascii="Arial" w:hAnsi="Arial" w:cs="Arial"/>
          <w:i/>
          <w:sz w:val="20"/>
          <w:szCs w:val="20"/>
        </w:rPr>
        <w:t xml:space="preserve">se réjouit </w:t>
      </w:r>
      <w:r w:rsidR="001A020A">
        <w:rPr>
          <w:rFonts w:ascii="Arial" w:hAnsi="Arial" w:cs="Arial"/>
          <w:i/>
          <w:sz w:val="20"/>
          <w:szCs w:val="20"/>
        </w:rPr>
        <w:t xml:space="preserve">et </w:t>
      </w:r>
      <w:r w:rsidR="00725925">
        <w:rPr>
          <w:rFonts w:ascii="Arial" w:hAnsi="Arial" w:cs="Arial"/>
          <w:i/>
          <w:sz w:val="20"/>
          <w:szCs w:val="20"/>
        </w:rPr>
        <w:t xml:space="preserve">pour lesquelles il </w:t>
      </w:r>
      <w:r w:rsidR="009652D0" w:rsidRPr="009652D0">
        <w:rPr>
          <w:rFonts w:ascii="Arial" w:hAnsi="Arial" w:cs="Arial"/>
          <w:i/>
          <w:sz w:val="20"/>
          <w:szCs w:val="20"/>
        </w:rPr>
        <w:t>encourage la poursuite des efforts</w:t>
      </w:r>
      <w:r w:rsidR="009652D0">
        <w:rPr>
          <w:rFonts w:ascii="Arial" w:hAnsi="Arial" w:cs="Arial"/>
          <w:sz w:val="20"/>
          <w:szCs w:val="20"/>
        </w:rPr>
        <w:t> ».</w:t>
      </w:r>
      <w:r w:rsidR="005B6B77">
        <w:rPr>
          <w:rFonts w:ascii="Arial" w:hAnsi="Arial" w:cs="Arial"/>
          <w:sz w:val="20"/>
          <w:szCs w:val="20"/>
        </w:rPr>
        <w:t xml:space="preserve"> Il a exprimé sa satisfaction ainsi que celle de son </w:t>
      </w:r>
      <w:r w:rsidR="0013685E">
        <w:rPr>
          <w:rFonts w:ascii="Arial" w:hAnsi="Arial" w:cs="Arial"/>
          <w:sz w:val="20"/>
          <w:szCs w:val="20"/>
        </w:rPr>
        <w:t xml:space="preserve">homologue </w:t>
      </w:r>
      <w:r w:rsidR="005B6B77">
        <w:rPr>
          <w:rFonts w:ascii="Arial" w:hAnsi="Arial" w:cs="Arial"/>
          <w:sz w:val="20"/>
          <w:szCs w:val="20"/>
        </w:rPr>
        <w:t xml:space="preserve">du Budget sur les interventions du FMI dans le cadre de ce projet financé par l’Union </w:t>
      </w:r>
      <w:r w:rsidR="001F1ACC">
        <w:rPr>
          <w:rFonts w:ascii="Arial" w:hAnsi="Arial" w:cs="Arial"/>
          <w:sz w:val="20"/>
          <w:szCs w:val="20"/>
        </w:rPr>
        <w:t>européenne</w:t>
      </w:r>
      <w:r w:rsidR="005B6B77">
        <w:rPr>
          <w:rFonts w:ascii="Arial" w:hAnsi="Arial" w:cs="Arial"/>
          <w:sz w:val="20"/>
          <w:szCs w:val="20"/>
        </w:rPr>
        <w:t>.</w:t>
      </w:r>
    </w:p>
    <w:p w:rsidR="005537B0" w:rsidRDefault="009652D0">
      <w:pPr>
        <w:spacing w:after="120"/>
        <w:jc w:val="both"/>
        <w:rPr>
          <w:rFonts w:ascii="Arial" w:hAnsi="Arial" w:cs="Arial"/>
          <w:sz w:val="20"/>
          <w:szCs w:val="20"/>
        </w:rPr>
      </w:pPr>
      <w:r>
        <w:rPr>
          <w:rFonts w:ascii="Arial" w:hAnsi="Arial" w:cs="Arial"/>
          <w:sz w:val="20"/>
          <w:szCs w:val="20"/>
        </w:rPr>
        <w:t>En écho, l</w:t>
      </w:r>
      <w:r w:rsidR="00944525">
        <w:rPr>
          <w:rFonts w:ascii="Arial" w:hAnsi="Arial" w:cs="Arial"/>
          <w:sz w:val="20"/>
          <w:szCs w:val="20"/>
        </w:rPr>
        <w:t xml:space="preserve">’Ambassadeur </w:t>
      </w:r>
      <w:r w:rsidR="008A14BC">
        <w:rPr>
          <w:rFonts w:ascii="Arial" w:hAnsi="Arial" w:cs="Arial"/>
          <w:sz w:val="20"/>
          <w:szCs w:val="20"/>
        </w:rPr>
        <w:t xml:space="preserve">de l’Union européenne </w:t>
      </w:r>
      <w:r w:rsidR="00944525">
        <w:rPr>
          <w:rFonts w:ascii="Arial" w:hAnsi="Arial" w:cs="Arial"/>
          <w:sz w:val="20"/>
          <w:szCs w:val="20"/>
        </w:rPr>
        <w:t>Josep Coll</w:t>
      </w:r>
      <w:r w:rsidR="004D0CF9" w:rsidRPr="00AB647A">
        <w:rPr>
          <w:rFonts w:ascii="Arial" w:hAnsi="Arial" w:cs="Arial"/>
          <w:sz w:val="20"/>
          <w:szCs w:val="20"/>
        </w:rPr>
        <w:t xml:space="preserve"> </w:t>
      </w:r>
      <w:r>
        <w:rPr>
          <w:rFonts w:ascii="Arial" w:hAnsi="Arial" w:cs="Arial"/>
          <w:sz w:val="20"/>
          <w:szCs w:val="20"/>
        </w:rPr>
        <w:t xml:space="preserve">a </w:t>
      </w:r>
      <w:r w:rsidR="00851B02">
        <w:rPr>
          <w:rFonts w:ascii="Arial" w:hAnsi="Arial" w:cs="Arial"/>
          <w:sz w:val="20"/>
          <w:szCs w:val="20"/>
        </w:rPr>
        <w:t xml:space="preserve">encouragé les autorités à maintenir le rythme des réformes pour matérialiser leur impact sur les finances publiques guinéennes. </w:t>
      </w:r>
      <w:r w:rsidR="00FC3EAE" w:rsidRPr="00851B02">
        <w:rPr>
          <w:rFonts w:ascii="Arial" w:hAnsi="Arial" w:cs="Arial"/>
          <w:sz w:val="20"/>
          <w:szCs w:val="20"/>
        </w:rPr>
        <w:t>Au-delà d</w:t>
      </w:r>
      <w:r w:rsidR="00851B02" w:rsidRPr="00851B02">
        <w:rPr>
          <w:rFonts w:ascii="Arial" w:hAnsi="Arial" w:cs="Arial"/>
          <w:sz w:val="20"/>
          <w:szCs w:val="20"/>
        </w:rPr>
        <w:t>e ce</w:t>
      </w:r>
      <w:r w:rsidR="00FC3EAE" w:rsidRPr="00851B02">
        <w:rPr>
          <w:rFonts w:ascii="Arial" w:hAnsi="Arial" w:cs="Arial"/>
          <w:sz w:val="20"/>
          <w:szCs w:val="20"/>
        </w:rPr>
        <w:t xml:space="preserve"> projet, </w:t>
      </w:r>
      <w:r w:rsidR="0063254D" w:rsidRPr="0063254D">
        <w:rPr>
          <w:rFonts w:ascii="Arial" w:hAnsi="Arial" w:cs="Arial"/>
          <w:sz w:val="20"/>
          <w:szCs w:val="20"/>
        </w:rPr>
        <w:t xml:space="preserve">aussi </w:t>
      </w:r>
      <w:r w:rsidR="00E0790A" w:rsidRPr="00851B02">
        <w:rPr>
          <w:rFonts w:ascii="Arial" w:hAnsi="Arial" w:cs="Arial"/>
          <w:sz w:val="20"/>
          <w:szCs w:val="20"/>
        </w:rPr>
        <w:t>a-t</w:t>
      </w:r>
      <w:r w:rsidR="0063254D" w:rsidRPr="0063254D">
        <w:rPr>
          <w:rFonts w:ascii="Arial" w:hAnsi="Arial" w:cs="Arial"/>
          <w:sz w:val="20"/>
          <w:szCs w:val="20"/>
        </w:rPr>
        <w:t>-il</w:t>
      </w:r>
      <w:r w:rsidR="00851B02">
        <w:rPr>
          <w:rFonts w:ascii="Arial" w:hAnsi="Arial" w:cs="Arial"/>
          <w:i/>
          <w:sz w:val="20"/>
          <w:szCs w:val="20"/>
        </w:rPr>
        <w:t xml:space="preserve"> </w:t>
      </w:r>
      <w:r w:rsidR="0063254D" w:rsidRPr="0063254D">
        <w:rPr>
          <w:rFonts w:ascii="Arial" w:hAnsi="Arial" w:cs="Arial"/>
          <w:sz w:val="20"/>
          <w:szCs w:val="20"/>
        </w:rPr>
        <w:t>appe</w:t>
      </w:r>
      <w:r w:rsidR="00851B02" w:rsidRPr="00851B02">
        <w:rPr>
          <w:rFonts w:ascii="Arial" w:hAnsi="Arial" w:cs="Arial"/>
          <w:sz w:val="20"/>
          <w:szCs w:val="20"/>
        </w:rPr>
        <w:t>l</w:t>
      </w:r>
      <w:r w:rsidR="0063254D" w:rsidRPr="0063254D">
        <w:rPr>
          <w:rFonts w:ascii="Arial" w:hAnsi="Arial" w:cs="Arial"/>
          <w:sz w:val="20"/>
          <w:szCs w:val="20"/>
        </w:rPr>
        <w:t>é</w:t>
      </w:r>
      <w:r w:rsidR="00E0790A">
        <w:rPr>
          <w:rFonts w:ascii="Arial" w:hAnsi="Arial" w:cs="Arial"/>
          <w:sz w:val="20"/>
          <w:szCs w:val="20"/>
        </w:rPr>
        <w:t xml:space="preserve"> à</w:t>
      </w:r>
      <w:r w:rsidR="0063254D" w:rsidRPr="0063254D">
        <w:rPr>
          <w:rFonts w:ascii="Arial" w:hAnsi="Arial" w:cs="Arial"/>
          <w:i/>
          <w:sz w:val="20"/>
          <w:szCs w:val="20"/>
        </w:rPr>
        <w:t xml:space="preserve"> </w:t>
      </w:r>
      <w:r w:rsidR="00851B02">
        <w:rPr>
          <w:rFonts w:ascii="Arial" w:hAnsi="Arial" w:cs="Arial"/>
          <w:i/>
          <w:sz w:val="20"/>
          <w:szCs w:val="20"/>
        </w:rPr>
        <w:t>«</w:t>
      </w:r>
      <w:r w:rsidR="00E0790A">
        <w:rPr>
          <w:rFonts w:ascii="Arial" w:hAnsi="Arial" w:cs="Arial"/>
          <w:i/>
          <w:sz w:val="20"/>
          <w:szCs w:val="20"/>
        </w:rPr>
        <w:t> </w:t>
      </w:r>
      <w:r w:rsidR="0063254D" w:rsidRPr="0063254D">
        <w:rPr>
          <w:rFonts w:ascii="Arial" w:hAnsi="Arial" w:cs="Arial"/>
          <w:i/>
          <w:sz w:val="20"/>
          <w:szCs w:val="20"/>
        </w:rPr>
        <w:t>intensifier la coordination entre les autorités et les partenaires techniques et financiers pour une meilleure synergie, et à poursuivre les efforts de transparence et de redevabilité</w:t>
      </w:r>
      <w:r w:rsidR="00851B02">
        <w:rPr>
          <w:rFonts w:ascii="Arial" w:hAnsi="Arial" w:cs="Arial"/>
          <w:i/>
          <w:sz w:val="20"/>
          <w:szCs w:val="20"/>
        </w:rPr>
        <w:t> »</w:t>
      </w:r>
      <w:r w:rsidR="00FC3EAE">
        <w:rPr>
          <w:rFonts w:ascii="Arial" w:hAnsi="Arial" w:cs="Arial"/>
          <w:sz w:val="20"/>
          <w:szCs w:val="20"/>
        </w:rPr>
        <w:t xml:space="preserve">. </w:t>
      </w:r>
    </w:p>
    <w:p w:rsidR="005537B0" w:rsidRDefault="00944525">
      <w:pPr>
        <w:spacing w:after="120"/>
        <w:jc w:val="both"/>
        <w:rPr>
          <w:rFonts w:ascii="Arial" w:hAnsi="Arial" w:cs="Arial"/>
          <w:sz w:val="20"/>
          <w:szCs w:val="20"/>
        </w:rPr>
      </w:pPr>
      <w:r>
        <w:rPr>
          <w:rFonts w:ascii="Arial" w:hAnsi="Arial" w:cs="Arial"/>
          <w:sz w:val="20"/>
          <w:szCs w:val="20"/>
        </w:rPr>
        <w:t xml:space="preserve">Mme </w:t>
      </w:r>
      <w:proofErr w:type="spellStart"/>
      <w:r>
        <w:rPr>
          <w:rFonts w:ascii="Arial" w:hAnsi="Arial" w:cs="Arial"/>
          <w:sz w:val="20"/>
          <w:szCs w:val="20"/>
        </w:rPr>
        <w:t>Manal</w:t>
      </w:r>
      <w:proofErr w:type="spellEnd"/>
      <w:r>
        <w:rPr>
          <w:rFonts w:ascii="Arial" w:hAnsi="Arial" w:cs="Arial"/>
          <w:sz w:val="20"/>
          <w:szCs w:val="20"/>
        </w:rPr>
        <w:t xml:space="preserve"> </w:t>
      </w:r>
      <w:r w:rsidR="00BA645B">
        <w:rPr>
          <w:rFonts w:ascii="Arial" w:hAnsi="Arial" w:cs="Arial"/>
          <w:sz w:val="20"/>
          <w:szCs w:val="20"/>
        </w:rPr>
        <w:t>Fouad</w:t>
      </w:r>
      <w:r>
        <w:rPr>
          <w:rFonts w:ascii="Arial" w:hAnsi="Arial" w:cs="Arial"/>
          <w:sz w:val="20"/>
          <w:szCs w:val="20"/>
        </w:rPr>
        <w:t xml:space="preserve">, </w:t>
      </w:r>
      <w:r w:rsidRPr="00944525">
        <w:rPr>
          <w:rFonts w:ascii="Arial" w:hAnsi="Arial" w:cs="Arial"/>
          <w:sz w:val="20"/>
          <w:szCs w:val="20"/>
        </w:rPr>
        <w:t>Sous-directrice, Cheffe de division de la gestion financière publique du Département des</w:t>
      </w:r>
      <w:r>
        <w:rPr>
          <w:rFonts w:ascii="Arial" w:hAnsi="Arial" w:cs="Arial"/>
          <w:sz w:val="20"/>
          <w:szCs w:val="20"/>
        </w:rPr>
        <w:t xml:space="preserve"> </w:t>
      </w:r>
      <w:r w:rsidRPr="00944525">
        <w:rPr>
          <w:rFonts w:ascii="Arial" w:hAnsi="Arial" w:cs="Arial"/>
          <w:sz w:val="20"/>
          <w:szCs w:val="20"/>
        </w:rPr>
        <w:t>finances publiques du FMI</w:t>
      </w:r>
      <w:r>
        <w:rPr>
          <w:rFonts w:ascii="Arial" w:hAnsi="Arial" w:cs="Arial"/>
          <w:sz w:val="20"/>
          <w:szCs w:val="20"/>
        </w:rPr>
        <w:t xml:space="preserve"> a rappelé</w:t>
      </w:r>
      <w:r w:rsidR="007743D1">
        <w:rPr>
          <w:rFonts w:ascii="Arial" w:hAnsi="Arial" w:cs="Arial"/>
          <w:sz w:val="20"/>
          <w:szCs w:val="20"/>
        </w:rPr>
        <w:t xml:space="preserve"> </w:t>
      </w:r>
      <w:r w:rsidR="007743D1">
        <w:rPr>
          <w:rFonts w:ascii="Arial" w:hAnsi="Arial" w:cs="Arial"/>
          <w:i/>
          <w:sz w:val="20"/>
          <w:szCs w:val="20"/>
        </w:rPr>
        <w:t xml:space="preserve">‘’ </w:t>
      </w:r>
      <w:r w:rsidRPr="007743D1">
        <w:rPr>
          <w:rFonts w:ascii="Arial" w:hAnsi="Arial" w:cs="Arial"/>
          <w:i/>
          <w:sz w:val="20"/>
          <w:szCs w:val="20"/>
        </w:rPr>
        <w:t xml:space="preserve">l’importance que son Institution </w:t>
      </w:r>
      <w:r w:rsidR="007743D1">
        <w:rPr>
          <w:rFonts w:ascii="Arial" w:hAnsi="Arial" w:cs="Arial"/>
          <w:i/>
          <w:sz w:val="20"/>
          <w:szCs w:val="20"/>
        </w:rPr>
        <w:t>accordait</w:t>
      </w:r>
      <w:r w:rsidRPr="007743D1">
        <w:rPr>
          <w:rFonts w:ascii="Arial" w:hAnsi="Arial" w:cs="Arial"/>
          <w:i/>
          <w:sz w:val="20"/>
          <w:szCs w:val="20"/>
        </w:rPr>
        <w:t xml:space="preserve"> </w:t>
      </w:r>
      <w:r w:rsidR="00725925">
        <w:rPr>
          <w:rFonts w:ascii="Arial" w:hAnsi="Arial" w:cs="Arial"/>
          <w:i/>
          <w:sz w:val="20"/>
          <w:szCs w:val="20"/>
        </w:rPr>
        <w:t xml:space="preserve">à </w:t>
      </w:r>
      <w:r w:rsidRPr="007743D1">
        <w:rPr>
          <w:rFonts w:ascii="Arial" w:hAnsi="Arial" w:cs="Arial"/>
          <w:i/>
          <w:sz w:val="20"/>
          <w:szCs w:val="20"/>
        </w:rPr>
        <w:t xml:space="preserve">la Guinée </w:t>
      </w:r>
      <w:r w:rsidR="007743D1">
        <w:rPr>
          <w:rFonts w:ascii="Arial" w:hAnsi="Arial" w:cs="Arial"/>
          <w:i/>
          <w:sz w:val="20"/>
          <w:szCs w:val="20"/>
        </w:rPr>
        <w:t>ainsi que</w:t>
      </w:r>
      <w:r w:rsidRPr="007743D1">
        <w:rPr>
          <w:rFonts w:ascii="Arial" w:hAnsi="Arial" w:cs="Arial"/>
          <w:i/>
          <w:sz w:val="20"/>
          <w:szCs w:val="20"/>
        </w:rPr>
        <w:t xml:space="preserve"> sa disponibilité </w:t>
      </w:r>
      <w:r w:rsidR="00725925">
        <w:rPr>
          <w:rFonts w:ascii="Arial" w:hAnsi="Arial" w:cs="Arial"/>
          <w:i/>
          <w:sz w:val="20"/>
          <w:szCs w:val="20"/>
        </w:rPr>
        <w:t xml:space="preserve">à </w:t>
      </w:r>
      <w:r w:rsidR="007743D1">
        <w:rPr>
          <w:rFonts w:ascii="Arial" w:hAnsi="Arial" w:cs="Arial"/>
          <w:i/>
          <w:sz w:val="20"/>
          <w:szCs w:val="20"/>
        </w:rPr>
        <w:t xml:space="preserve">lui apporter </w:t>
      </w:r>
      <w:r w:rsidR="007743D1" w:rsidRPr="007743D1">
        <w:rPr>
          <w:rFonts w:ascii="Arial" w:hAnsi="Arial" w:cs="Arial"/>
          <w:i/>
          <w:sz w:val="20"/>
          <w:szCs w:val="20"/>
        </w:rPr>
        <w:t xml:space="preserve">l’assistance technique </w:t>
      </w:r>
      <w:r w:rsidR="007743D1">
        <w:rPr>
          <w:rFonts w:ascii="Arial" w:hAnsi="Arial" w:cs="Arial"/>
          <w:i/>
          <w:sz w:val="20"/>
          <w:szCs w:val="20"/>
        </w:rPr>
        <w:t>pour poursuivre la modernisation de sa g</w:t>
      </w:r>
      <w:r w:rsidR="007743D1" w:rsidRPr="007743D1">
        <w:rPr>
          <w:rFonts w:ascii="Arial" w:hAnsi="Arial" w:cs="Arial"/>
          <w:i/>
          <w:sz w:val="20"/>
          <w:szCs w:val="20"/>
        </w:rPr>
        <w:t>estion budgétaire et comptable</w:t>
      </w:r>
      <w:r w:rsidR="00725925">
        <w:rPr>
          <w:rFonts w:ascii="Arial" w:hAnsi="Arial" w:cs="Arial"/>
          <w:i/>
          <w:sz w:val="20"/>
          <w:szCs w:val="20"/>
        </w:rPr>
        <w:t xml:space="preserve"> permettant d’assurer son développement durable’</w:t>
      </w:r>
      <w:r w:rsidR="007743D1">
        <w:rPr>
          <w:rFonts w:ascii="Arial" w:hAnsi="Arial" w:cs="Arial"/>
          <w:i/>
          <w:sz w:val="20"/>
          <w:szCs w:val="20"/>
        </w:rPr>
        <w:t>’</w:t>
      </w:r>
      <w:r w:rsidR="004D0CF9">
        <w:rPr>
          <w:rFonts w:ascii="Arial" w:hAnsi="Arial" w:cs="Arial"/>
          <w:i/>
          <w:sz w:val="20"/>
          <w:szCs w:val="20"/>
        </w:rPr>
        <w:t>.</w:t>
      </w:r>
      <w:r w:rsidR="007743D1">
        <w:rPr>
          <w:rFonts w:ascii="Arial" w:hAnsi="Arial" w:cs="Arial"/>
          <w:i/>
          <w:sz w:val="20"/>
          <w:szCs w:val="20"/>
        </w:rPr>
        <w:t xml:space="preserve"> </w:t>
      </w:r>
    </w:p>
    <w:p w:rsidR="005537B0" w:rsidRDefault="007743D1">
      <w:pPr>
        <w:jc w:val="both"/>
        <w:rPr>
          <w:rFonts w:ascii="Arial" w:hAnsi="Arial" w:cs="Arial"/>
          <w:sz w:val="20"/>
          <w:szCs w:val="20"/>
        </w:rPr>
      </w:pPr>
      <w:r w:rsidRPr="007743D1">
        <w:rPr>
          <w:rFonts w:ascii="Arial" w:hAnsi="Arial" w:cs="Arial"/>
          <w:sz w:val="20"/>
          <w:szCs w:val="20"/>
        </w:rPr>
        <w:t>M</w:t>
      </w:r>
      <w:r>
        <w:rPr>
          <w:rFonts w:ascii="Arial" w:hAnsi="Arial" w:cs="Arial"/>
          <w:sz w:val="20"/>
          <w:szCs w:val="20"/>
        </w:rPr>
        <w:t>.</w:t>
      </w:r>
      <w:r w:rsidRPr="007743D1">
        <w:rPr>
          <w:rFonts w:ascii="Arial" w:hAnsi="Arial" w:cs="Arial"/>
          <w:sz w:val="20"/>
          <w:szCs w:val="20"/>
        </w:rPr>
        <w:t xml:space="preserve"> Jean </w:t>
      </w:r>
      <w:r>
        <w:rPr>
          <w:rFonts w:ascii="Arial" w:hAnsi="Arial" w:cs="Arial"/>
          <w:sz w:val="20"/>
          <w:szCs w:val="20"/>
        </w:rPr>
        <w:t xml:space="preserve">Pierre </w:t>
      </w:r>
      <w:proofErr w:type="spellStart"/>
      <w:r>
        <w:rPr>
          <w:rFonts w:ascii="Arial" w:hAnsi="Arial" w:cs="Arial"/>
          <w:sz w:val="20"/>
          <w:szCs w:val="20"/>
        </w:rPr>
        <w:t>Nguenang</w:t>
      </w:r>
      <w:proofErr w:type="spellEnd"/>
      <w:r>
        <w:rPr>
          <w:rFonts w:ascii="Arial" w:hAnsi="Arial" w:cs="Arial"/>
          <w:sz w:val="20"/>
          <w:szCs w:val="20"/>
        </w:rPr>
        <w:t xml:space="preserve">, Chef du Projet </w:t>
      </w:r>
      <w:r w:rsidR="008A5043">
        <w:rPr>
          <w:rFonts w:ascii="Arial" w:hAnsi="Arial" w:cs="Arial"/>
          <w:sz w:val="20"/>
          <w:szCs w:val="20"/>
        </w:rPr>
        <w:t xml:space="preserve">(FMI) </w:t>
      </w:r>
      <w:r>
        <w:rPr>
          <w:rFonts w:ascii="Arial" w:hAnsi="Arial" w:cs="Arial"/>
          <w:sz w:val="20"/>
          <w:szCs w:val="20"/>
        </w:rPr>
        <w:t>a présenté les résultats des cinq objectifs du projet pour 2020</w:t>
      </w:r>
      <w:r w:rsidR="009652D0">
        <w:rPr>
          <w:rFonts w:ascii="Arial" w:hAnsi="Arial" w:cs="Arial"/>
          <w:sz w:val="20"/>
          <w:szCs w:val="20"/>
        </w:rPr>
        <w:t xml:space="preserve"> </w:t>
      </w:r>
      <w:r>
        <w:rPr>
          <w:rFonts w:ascii="Arial" w:hAnsi="Arial" w:cs="Arial"/>
          <w:sz w:val="20"/>
          <w:szCs w:val="20"/>
        </w:rPr>
        <w:t>dont 32 des 51 activités ont été évaluées avec satisfaction et sanctionné</w:t>
      </w:r>
      <w:r w:rsidR="00B472AA">
        <w:rPr>
          <w:rFonts w:ascii="Arial" w:hAnsi="Arial" w:cs="Arial"/>
          <w:sz w:val="20"/>
          <w:szCs w:val="20"/>
        </w:rPr>
        <w:t>e</w:t>
      </w:r>
      <w:r>
        <w:rPr>
          <w:rFonts w:ascii="Arial" w:hAnsi="Arial" w:cs="Arial"/>
          <w:sz w:val="20"/>
          <w:szCs w:val="20"/>
        </w:rPr>
        <w:t xml:space="preserve">s par une moyenne de </w:t>
      </w:r>
      <w:r w:rsidR="00930C8C">
        <w:rPr>
          <w:rFonts w:ascii="Arial" w:hAnsi="Arial" w:cs="Arial"/>
          <w:sz w:val="20"/>
          <w:szCs w:val="20"/>
        </w:rPr>
        <w:t>71</w:t>
      </w:r>
      <w:r w:rsidR="009652D0">
        <w:rPr>
          <w:rFonts w:ascii="Arial" w:hAnsi="Arial" w:cs="Arial"/>
          <w:sz w:val="20"/>
          <w:szCs w:val="20"/>
        </w:rPr>
        <w:t xml:space="preserve"> %. </w:t>
      </w:r>
      <w:r w:rsidR="005626FB">
        <w:rPr>
          <w:rFonts w:ascii="Arial" w:hAnsi="Arial" w:cs="Arial"/>
          <w:sz w:val="20"/>
          <w:szCs w:val="20"/>
        </w:rPr>
        <w:t>La plupart des aspects de gestion des finances publics ont connu des progrès, mais beaucoup reste à faire pour concrétiser les résultats et les rendre plus visibles</w:t>
      </w:r>
      <w:r w:rsidR="004D0CF9">
        <w:rPr>
          <w:rFonts w:ascii="Arial" w:hAnsi="Arial" w:cs="Arial"/>
          <w:sz w:val="20"/>
          <w:szCs w:val="20"/>
        </w:rPr>
        <w:t>.</w:t>
      </w:r>
    </w:p>
    <w:p w:rsidR="005537B0" w:rsidRDefault="009652D0">
      <w:pPr>
        <w:jc w:val="both"/>
        <w:rPr>
          <w:rFonts w:ascii="Arial" w:hAnsi="Arial" w:cs="Arial"/>
          <w:sz w:val="20"/>
          <w:szCs w:val="20"/>
        </w:rPr>
      </w:pPr>
      <w:r w:rsidRPr="00177CE9">
        <w:rPr>
          <w:rFonts w:ascii="Arial" w:hAnsi="Arial" w:cs="Arial"/>
          <w:sz w:val="20"/>
          <w:szCs w:val="20"/>
        </w:rPr>
        <w:t>Le Comité de pilotage,</w:t>
      </w:r>
      <w:r w:rsidR="00930C8C" w:rsidRPr="00177CE9">
        <w:rPr>
          <w:rFonts w:ascii="Arial" w:hAnsi="Arial" w:cs="Arial"/>
          <w:sz w:val="20"/>
          <w:szCs w:val="20"/>
        </w:rPr>
        <w:t xml:space="preserve"> </w:t>
      </w:r>
      <w:r w:rsidRPr="00177CE9">
        <w:rPr>
          <w:rFonts w:ascii="Arial" w:hAnsi="Arial" w:cs="Arial"/>
          <w:sz w:val="20"/>
          <w:szCs w:val="20"/>
        </w:rPr>
        <w:t xml:space="preserve">tout en saluant </w:t>
      </w:r>
      <w:r w:rsidR="00930C8C" w:rsidRPr="00177CE9">
        <w:rPr>
          <w:rFonts w:ascii="Arial" w:hAnsi="Arial" w:cs="Arial"/>
          <w:sz w:val="20"/>
          <w:szCs w:val="20"/>
        </w:rPr>
        <w:t>l’adoption de plusieurs textes importants au cours de l’année 2020</w:t>
      </w:r>
      <w:r w:rsidR="00B472AA" w:rsidRPr="00177CE9">
        <w:rPr>
          <w:rFonts w:ascii="Arial" w:hAnsi="Arial" w:cs="Arial"/>
          <w:sz w:val="20"/>
          <w:szCs w:val="20"/>
        </w:rPr>
        <w:t>,</w:t>
      </w:r>
      <w:r w:rsidR="00930C8C" w:rsidRPr="00177CE9">
        <w:rPr>
          <w:rFonts w:ascii="Arial" w:hAnsi="Arial" w:cs="Arial"/>
          <w:sz w:val="20"/>
          <w:szCs w:val="20"/>
        </w:rPr>
        <w:t xml:space="preserve"> </w:t>
      </w:r>
      <w:r w:rsidR="003C15F8" w:rsidRPr="00177CE9">
        <w:rPr>
          <w:rFonts w:ascii="Arial" w:hAnsi="Arial" w:cs="Arial"/>
          <w:sz w:val="20"/>
          <w:szCs w:val="20"/>
        </w:rPr>
        <w:t xml:space="preserve">et la signature ce jour de l’arrêté portant attributions et organisation de la Direction nationale du contrôle financier (DNCF) ainsi que l’Instruction pour la mise en application du manuel de procédures du contrôle financier, </w:t>
      </w:r>
      <w:r w:rsidRPr="00177CE9">
        <w:rPr>
          <w:rFonts w:ascii="Arial" w:hAnsi="Arial" w:cs="Arial"/>
          <w:sz w:val="20"/>
          <w:szCs w:val="20"/>
        </w:rPr>
        <w:t>a décidé d’ac</w:t>
      </w:r>
      <w:r w:rsidR="00930C8C" w:rsidRPr="00177CE9">
        <w:rPr>
          <w:rFonts w:ascii="Arial" w:hAnsi="Arial" w:cs="Arial"/>
          <w:sz w:val="20"/>
          <w:szCs w:val="20"/>
        </w:rPr>
        <w:t>célérer l’adoption</w:t>
      </w:r>
      <w:r w:rsidR="001578B7" w:rsidRPr="00177CE9">
        <w:rPr>
          <w:rFonts w:ascii="Arial" w:hAnsi="Arial" w:cs="Arial"/>
          <w:sz w:val="20"/>
          <w:szCs w:val="20"/>
        </w:rPr>
        <w:t xml:space="preserve"> des projets de textes relatifs à la réforme de la Direction nationale de la comptabilité matières et du matériel. Également</w:t>
      </w:r>
      <w:r w:rsidRPr="00177CE9">
        <w:rPr>
          <w:rFonts w:ascii="Arial" w:hAnsi="Arial" w:cs="Arial"/>
          <w:sz w:val="20"/>
          <w:szCs w:val="20"/>
        </w:rPr>
        <w:t xml:space="preserve">, se félicitant </w:t>
      </w:r>
      <w:r w:rsidR="00930C8C" w:rsidRPr="00177CE9">
        <w:rPr>
          <w:rFonts w:ascii="Arial" w:hAnsi="Arial" w:cs="Arial"/>
          <w:sz w:val="20"/>
          <w:szCs w:val="20"/>
        </w:rPr>
        <w:t>de l’avancée de la procédure de sélection du</w:t>
      </w:r>
      <w:r w:rsidR="00930C8C" w:rsidRPr="00930C8C">
        <w:rPr>
          <w:rFonts w:ascii="Arial" w:hAnsi="Arial" w:cs="Arial"/>
          <w:sz w:val="20"/>
          <w:szCs w:val="20"/>
        </w:rPr>
        <w:t xml:space="preserve"> fournisseur du système d’information comptable de l’Etat</w:t>
      </w:r>
      <w:r w:rsidR="00B472AA">
        <w:rPr>
          <w:rFonts w:ascii="Arial" w:hAnsi="Arial" w:cs="Arial"/>
          <w:sz w:val="20"/>
          <w:szCs w:val="20"/>
        </w:rPr>
        <w:t>,</w:t>
      </w:r>
      <w:r w:rsidR="00930C8C" w:rsidRPr="00930C8C">
        <w:rPr>
          <w:rFonts w:ascii="Arial" w:hAnsi="Arial" w:cs="Arial"/>
          <w:sz w:val="20"/>
          <w:szCs w:val="20"/>
        </w:rPr>
        <w:t xml:space="preserve"> </w:t>
      </w:r>
      <w:r>
        <w:rPr>
          <w:rFonts w:ascii="Arial" w:hAnsi="Arial" w:cs="Arial"/>
          <w:sz w:val="20"/>
          <w:szCs w:val="20"/>
        </w:rPr>
        <w:t>il s’est engagé</w:t>
      </w:r>
      <w:r w:rsidR="00725925">
        <w:rPr>
          <w:rFonts w:ascii="Arial" w:hAnsi="Arial" w:cs="Arial"/>
          <w:sz w:val="20"/>
          <w:szCs w:val="20"/>
        </w:rPr>
        <w:t xml:space="preserve"> </w:t>
      </w:r>
      <w:r w:rsidR="00930C8C" w:rsidRPr="00930C8C">
        <w:rPr>
          <w:rFonts w:ascii="Arial" w:hAnsi="Arial" w:cs="Arial"/>
          <w:sz w:val="20"/>
          <w:szCs w:val="20"/>
        </w:rPr>
        <w:t xml:space="preserve">à </w:t>
      </w:r>
      <w:r w:rsidR="001B3770">
        <w:rPr>
          <w:rFonts w:ascii="Arial" w:hAnsi="Arial" w:cs="Arial"/>
          <w:sz w:val="20"/>
          <w:szCs w:val="20"/>
        </w:rPr>
        <w:t>mettre rapidement en place</w:t>
      </w:r>
      <w:r w:rsidR="00930C8C" w:rsidRPr="00930C8C">
        <w:rPr>
          <w:rFonts w:ascii="Arial" w:hAnsi="Arial" w:cs="Arial"/>
          <w:sz w:val="20"/>
          <w:szCs w:val="20"/>
        </w:rPr>
        <w:t xml:space="preserve"> l’équipe </w:t>
      </w:r>
      <w:r w:rsidR="005626FB">
        <w:rPr>
          <w:rFonts w:ascii="Arial" w:hAnsi="Arial" w:cs="Arial"/>
          <w:sz w:val="20"/>
          <w:szCs w:val="20"/>
        </w:rPr>
        <w:t xml:space="preserve">de gouvernance </w:t>
      </w:r>
      <w:r w:rsidR="00930C8C" w:rsidRPr="00930C8C">
        <w:rPr>
          <w:rFonts w:ascii="Arial" w:hAnsi="Arial" w:cs="Arial"/>
          <w:sz w:val="20"/>
          <w:szCs w:val="20"/>
        </w:rPr>
        <w:t>du projet</w:t>
      </w:r>
      <w:r w:rsidR="00930C8C">
        <w:rPr>
          <w:rFonts w:ascii="Arial" w:hAnsi="Arial" w:cs="Arial"/>
          <w:sz w:val="20"/>
          <w:szCs w:val="20"/>
        </w:rPr>
        <w:t>.</w:t>
      </w:r>
      <w:r w:rsidR="00930C8C" w:rsidRPr="00930C8C">
        <w:rPr>
          <w:rFonts w:ascii="Arial" w:hAnsi="Arial" w:cs="Arial"/>
          <w:sz w:val="20"/>
          <w:szCs w:val="20"/>
        </w:rPr>
        <w:t xml:space="preserve"> </w:t>
      </w:r>
    </w:p>
    <w:p w:rsidR="005537B0" w:rsidRDefault="00930C8C">
      <w:pPr>
        <w:jc w:val="both"/>
        <w:rPr>
          <w:rFonts w:ascii="Arial" w:hAnsi="Arial" w:cs="Arial"/>
          <w:sz w:val="20"/>
          <w:szCs w:val="20"/>
        </w:rPr>
      </w:pPr>
      <w:r>
        <w:rPr>
          <w:rFonts w:ascii="Arial" w:hAnsi="Arial" w:cs="Arial"/>
          <w:sz w:val="20"/>
          <w:szCs w:val="20"/>
        </w:rPr>
        <w:t xml:space="preserve">Concernant </w:t>
      </w:r>
      <w:r w:rsidR="001B3770">
        <w:rPr>
          <w:rFonts w:ascii="Arial" w:hAnsi="Arial" w:cs="Arial"/>
          <w:sz w:val="20"/>
          <w:szCs w:val="20"/>
        </w:rPr>
        <w:t>l’exécution et le</w:t>
      </w:r>
      <w:r>
        <w:rPr>
          <w:rFonts w:ascii="Arial" w:hAnsi="Arial" w:cs="Arial"/>
          <w:sz w:val="20"/>
          <w:szCs w:val="20"/>
        </w:rPr>
        <w:t xml:space="preserve"> contrôle budgétaire, </w:t>
      </w:r>
      <w:r w:rsidR="00725925">
        <w:rPr>
          <w:rFonts w:ascii="Arial" w:hAnsi="Arial" w:cs="Arial"/>
          <w:sz w:val="20"/>
          <w:szCs w:val="20"/>
        </w:rPr>
        <w:t xml:space="preserve">le Comité </w:t>
      </w:r>
      <w:r w:rsidR="006072DE">
        <w:rPr>
          <w:rFonts w:ascii="Arial" w:hAnsi="Arial" w:cs="Arial"/>
          <w:sz w:val="20"/>
          <w:szCs w:val="20"/>
        </w:rPr>
        <w:t>a noté que d</w:t>
      </w:r>
      <w:r>
        <w:rPr>
          <w:rFonts w:ascii="Arial" w:hAnsi="Arial" w:cs="Arial"/>
          <w:sz w:val="20"/>
          <w:szCs w:val="20"/>
        </w:rPr>
        <w:t>e</w:t>
      </w:r>
      <w:r w:rsidRPr="00930C8C">
        <w:rPr>
          <w:rFonts w:ascii="Arial" w:hAnsi="Arial" w:cs="Arial"/>
          <w:sz w:val="20"/>
          <w:szCs w:val="20"/>
        </w:rPr>
        <w:t xml:space="preserve">s outils </w:t>
      </w:r>
      <w:r w:rsidR="006072DE">
        <w:rPr>
          <w:rFonts w:ascii="Arial" w:hAnsi="Arial" w:cs="Arial"/>
          <w:sz w:val="20"/>
          <w:szCs w:val="20"/>
        </w:rPr>
        <w:t>ont été conçus</w:t>
      </w:r>
      <w:r w:rsidR="00E77881">
        <w:rPr>
          <w:rFonts w:ascii="Arial" w:hAnsi="Arial" w:cs="Arial"/>
          <w:sz w:val="20"/>
          <w:szCs w:val="20"/>
        </w:rPr>
        <w:t>. Cependant, il a été relevé que</w:t>
      </w:r>
      <w:r w:rsidR="001B3770">
        <w:rPr>
          <w:rFonts w:ascii="Arial" w:hAnsi="Arial" w:cs="Arial"/>
          <w:sz w:val="20"/>
          <w:szCs w:val="20"/>
        </w:rPr>
        <w:t xml:space="preserve"> </w:t>
      </w:r>
      <w:r w:rsidR="00E77881">
        <w:rPr>
          <w:rFonts w:ascii="Arial" w:hAnsi="Arial" w:cs="Arial"/>
          <w:sz w:val="20"/>
          <w:szCs w:val="20"/>
        </w:rPr>
        <w:t xml:space="preserve">leur utilisation </w:t>
      </w:r>
      <w:r w:rsidR="001A020A">
        <w:rPr>
          <w:rFonts w:ascii="Arial" w:hAnsi="Arial" w:cs="Arial"/>
          <w:sz w:val="20"/>
          <w:szCs w:val="20"/>
        </w:rPr>
        <w:t xml:space="preserve">doit </w:t>
      </w:r>
      <w:r w:rsidR="00E77881">
        <w:rPr>
          <w:rFonts w:ascii="Arial" w:hAnsi="Arial" w:cs="Arial"/>
          <w:sz w:val="20"/>
          <w:szCs w:val="20"/>
        </w:rPr>
        <w:t xml:space="preserve">faire l’objet d’un </w:t>
      </w:r>
      <w:r w:rsidR="001A020A">
        <w:rPr>
          <w:rFonts w:ascii="Arial" w:hAnsi="Arial" w:cs="Arial"/>
          <w:sz w:val="20"/>
          <w:szCs w:val="20"/>
        </w:rPr>
        <w:t>accompagne</w:t>
      </w:r>
      <w:r w:rsidR="00E77881">
        <w:rPr>
          <w:rFonts w:ascii="Arial" w:hAnsi="Arial" w:cs="Arial"/>
          <w:sz w:val="20"/>
          <w:szCs w:val="20"/>
        </w:rPr>
        <w:t>ment</w:t>
      </w:r>
      <w:r w:rsidR="001A020A">
        <w:rPr>
          <w:rFonts w:ascii="Arial" w:hAnsi="Arial" w:cs="Arial"/>
          <w:sz w:val="20"/>
          <w:szCs w:val="20"/>
        </w:rPr>
        <w:t xml:space="preserve"> </w:t>
      </w:r>
      <w:r w:rsidR="00E77881">
        <w:rPr>
          <w:rFonts w:ascii="Arial" w:hAnsi="Arial" w:cs="Arial"/>
          <w:sz w:val="20"/>
          <w:szCs w:val="20"/>
        </w:rPr>
        <w:t xml:space="preserve">pour permettre </w:t>
      </w:r>
      <w:r w:rsidR="001A020A">
        <w:rPr>
          <w:rFonts w:ascii="Arial" w:hAnsi="Arial" w:cs="Arial"/>
          <w:sz w:val="20"/>
          <w:szCs w:val="20"/>
        </w:rPr>
        <w:t xml:space="preserve">l’amélioration des </w:t>
      </w:r>
      <w:r w:rsidR="006072DE">
        <w:rPr>
          <w:rFonts w:ascii="Arial" w:hAnsi="Arial" w:cs="Arial"/>
          <w:sz w:val="20"/>
          <w:szCs w:val="20"/>
        </w:rPr>
        <w:t>pratiques</w:t>
      </w:r>
      <w:r w:rsidR="001B3770">
        <w:rPr>
          <w:rFonts w:ascii="Arial" w:hAnsi="Arial" w:cs="Arial"/>
          <w:sz w:val="20"/>
          <w:szCs w:val="20"/>
        </w:rPr>
        <w:t xml:space="preserve">. </w:t>
      </w:r>
      <w:r w:rsidR="005626FB">
        <w:rPr>
          <w:rFonts w:ascii="Arial" w:hAnsi="Arial" w:cs="Arial"/>
          <w:sz w:val="20"/>
          <w:szCs w:val="20"/>
        </w:rPr>
        <w:t>D</w:t>
      </w:r>
      <w:r w:rsidR="001B3770">
        <w:rPr>
          <w:rFonts w:ascii="Arial" w:hAnsi="Arial" w:cs="Arial"/>
          <w:sz w:val="20"/>
          <w:szCs w:val="20"/>
        </w:rPr>
        <w:t xml:space="preserve">es formations seront </w:t>
      </w:r>
      <w:r w:rsidR="009273DC">
        <w:rPr>
          <w:rFonts w:ascii="Arial" w:hAnsi="Arial" w:cs="Arial"/>
          <w:sz w:val="20"/>
          <w:szCs w:val="20"/>
        </w:rPr>
        <w:t>dispensées</w:t>
      </w:r>
      <w:r w:rsidR="001B3770">
        <w:rPr>
          <w:rFonts w:ascii="Arial" w:hAnsi="Arial" w:cs="Arial"/>
          <w:sz w:val="20"/>
          <w:szCs w:val="20"/>
        </w:rPr>
        <w:t xml:space="preserve"> </w:t>
      </w:r>
      <w:r w:rsidR="006072DE">
        <w:rPr>
          <w:rFonts w:ascii="Arial" w:hAnsi="Arial" w:cs="Arial"/>
          <w:sz w:val="20"/>
          <w:szCs w:val="20"/>
        </w:rPr>
        <w:t xml:space="preserve">pour mettre à niveau les acteurs de la chaine de la dépense. </w:t>
      </w:r>
    </w:p>
    <w:p w:rsidR="005537B0" w:rsidRDefault="004D6E95">
      <w:pPr>
        <w:jc w:val="both"/>
        <w:rPr>
          <w:rFonts w:ascii="Arial" w:hAnsi="Arial" w:cs="Arial"/>
          <w:sz w:val="20"/>
          <w:szCs w:val="20"/>
        </w:rPr>
      </w:pPr>
      <w:r>
        <w:rPr>
          <w:rFonts w:ascii="Arial" w:hAnsi="Arial" w:cs="Arial"/>
          <w:sz w:val="20"/>
          <w:szCs w:val="20"/>
        </w:rPr>
        <w:t xml:space="preserve">Au titre du </w:t>
      </w:r>
      <w:proofErr w:type="spellStart"/>
      <w:r>
        <w:rPr>
          <w:rFonts w:ascii="Arial" w:hAnsi="Arial" w:cs="Arial"/>
          <w:sz w:val="20"/>
          <w:szCs w:val="20"/>
        </w:rPr>
        <w:t>reporting</w:t>
      </w:r>
      <w:proofErr w:type="spellEnd"/>
      <w:r>
        <w:rPr>
          <w:rFonts w:ascii="Arial" w:hAnsi="Arial" w:cs="Arial"/>
          <w:sz w:val="20"/>
          <w:szCs w:val="20"/>
        </w:rPr>
        <w:t xml:space="preserve"> </w:t>
      </w:r>
      <w:r w:rsidR="005B6B77">
        <w:rPr>
          <w:rFonts w:ascii="Arial" w:hAnsi="Arial" w:cs="Arial"/>
          <w:sz w:val="20"/>
          <w:szCs w:val="20"/>
        </w:rPr>
        <w:t>budgétaire</w:t>
      </w:r>
      <w:r>
        <w:rPr>
          <w:rFonts w:ascii="Arial" w:hAnsi="Arial" w:cs="Arial"/>
          <w:sz w:val="20"/>
          <w:szCs w:val="20"/>
        </w:rPr>
        <w:t xml:space="preserve"> et comptable</w:t>
      </w:r>
      <w:r w:rsidR="008A14BC">
        <w:rPr>
          <w:rFonts w:ascii="Arial" w:hAnsi="Arial" w:cs="Arial"/>
          <w:sz w:val="20"/>
          <w:szCs w:val="20"/>
        </w:rPr>
        <w:t>,</w:t>
      </w:r>
      <w:r>
        <w:rPr>
          <w:rFonts w:ascii="Arial" w:hAnsi="Arial" w:cs="Arial"/>
          <w:sz w:val="20"/>
          <w:szCs w:val="20"/>
        </w:rPr>
        <w:t xml:space="preserve"> </w:t>
      </w:r>
      <w:r w:rsidR="008A14BC">
        <w:rPr>
          <w:rFonts w:ascii="Arial" w:hAnsi="Arial" w:cs="Arial"/>
          <w:sz w:val="20"/>
          <w:szCs w:val="20"/>
        </w:rPr>
        <w:t xml:space="preserve">le </w:t>
      </w:r>
      <w:r w:rsidR="001B3770">
        <w:rPr>
          <w:rFonts w:ascii="Arial" w:hAnsi="Arial" w:cs="Arial"/>
          <w:sz w:val="20"/>
          <w:szCs w:val="20"/>
        </w:rPr>
        <w:t xml:space="preserve">Comité de pilotage </w:t>
      </w:r>
      <w:r>
        <w:rPr>
          <w:rFonts w:ascii="Arial" w:hAnsi="Arial" w:cs="Arial"/>
          <w:sz w:val="20"/>
          <w:szCs w:val="20"/>
        </w:rPr>
        <w:t xml:space="preserve">s’est félicité de l’adoption récente du plan comptable de l’Etat révisé </w:t>
      </w:r>
      <w:r w:rsidR="006072DE">
        <w:rPr>
          <w:rFonts w:ascii="Arial" w:hAnsi="Arial" w:cs="Arial"/>
          <w:sz w:val="20"/>
          <w:szCs w:val="20"/>
        </w:rPr>
        <w:t xml:space="preserve">ainsi que de manuels de </w:t>
      </w:r>
      <w:r w:rsidR="006072DE" w:rsidRPr="006072DE">
        <w:rPr>
          <w:rFonts w:ascii="Arial" w:hAnsi="Arial" w:cs="Arial"/>
          <w:sz w:val="20"/>
          <w:szCs w:val="20"/>
        </w:rPr>
        <w:t>procédures comptables</w:t>
      </w:r>
      <w:r w:rsidR="006072DE">
        <w:rPr>
          <w:rFonts w:ascii="Arial" w:hAnsi="Arial" w:cs="Arial"/>
          <w:sz w:val="20"/>
          <w:szCs w:val="20"/>
        </w:rPr>
        <w:t xml:space="preserve"> modernes</w:t>
      </w:r>
      <w:r w:rsidR="001B3770">
        <w:rPr>
          <w:rFonts w:ascii="Arial" w:hAnsi="Arial" w:cs="Arial"/>
          <w:sz w:val="20"/>
          <w:szCs w:val="20"/>
        </w:rPr>
        <w:t xml:space="preserve">. </w:t>
      </w:r>
      <w:r>
        <w:rPr>
          <w:rFonts w:ascii="Arial" w:hAnsi="Arial" w:cs="Arial"/>
          <w:sz w:val="20"/>
          <w:szCs w:val="20"/>
        </w:rPr>
        <w:t xml:space="preserve">Il a également </w:t>
      </w:r>
      <w:r w:rsidR="001B3770">
        <w:rPr>
          <w:rFonts w:ascii="Arial" w:hAnsi="Arial" w:cs="Arial"/>
          <w:sz w:val="20"/>
          <w:szCs w:val="20"/>
        </w:rPr>
        <w:t xml:space="preserve">salué </w:t>
      </w:r>
      <w:r w:rsidR="005B6B77">
        <w:rPr>
          <w:rFonts w:ascii="Arial" w:hAnsi="Arial" w:cs="Arial"/>
          <w:sz w:val="20"/>
          <w:szCs w:val="20"/>
        </w:rPr>
        <w:t xml:space="preserve">les efforts de </w:t>
      </w:r>
      <w:r w:rsidR="006072DE">
        <w:rPr>
          <w:rFonts w:ascii="Arial" w:hAnsi="Arial" w:cs="Arial"/>
          <w:sz w:val="20"/>
          <w:szCs w:val="20"/>
        </w:rPr>
        <w:t xml:space="preserve">transparence </w:t>
      </w:r>
      <w:r w:rsidR="00886D3F">
        <w:rPr>
          <w:rFonts w:ascii="Arial" w:hAnsi="Arial" w:cs="Arial"/>
          <w:sz w:val="20"/>
          <w:szCs w:val="20"/>
        </w:rPr>
        <w:t>à</w:t>
      </w:r>
      <w:r w:rsidR="005B6B77">
        <w:rPr>
          <w:rFonts w:ascii="Arial" w:hAnsi="Arial" w:cs="Arial"/>
          <w:sz w:val="20"/>
          <w:szCs w:val="20"/>
        </w:rPr>
        <w:t xml:space="preserve"> travers la</w:t>
      </w:r>
      <w:r w:rsidR="001B3770">
        <w:rPr>
          <w:rFonts w:ascii="Arial" w:hAnsi="Arial" w:cs="Arial"/>
          <w:sz w:val="20"/>
          <w:szCs w:val="20"/>
        </w:rPr>
        <w:t xml:space="preserve"> publicité des actions de </w:t>
      </w:r>
      <w:r w:rsidR="006072DE">
        <w:rPr>
          <w:rFonts w:ascii="Arial" w:hAnsi="Arial" w:cs="Arial"/>
          <w:sz w:val="20"/>
          <w:szCs w:val="20"/>
        </w:rPr>
        <w:t xml:space="preserve">mise en œuvre </w:t>
      </w:r>
      <w:r w:rsidR="009273DC">
        <w:rPr>
          <w:rFonts w:ascii="Arial" w:hAnsi="Arial" w:cs="Arial"/>
          <w:sz w:val="20"/>
          <w:szCs w:val="20"/>
        </w:rPr>
        <w:t>du</w:t>
      </w:r>
      <w:r w:rsidR="006072DE">
        <w:rPr>
          <w:rFonts w:ascii="Arial" w:hAnsi="Arial" w:cs="Arial"/>
          <w:sz w:val="20"/>
          <w:szCs w:val="20"/>
        </w:rPr>
        <w:t xml:space="preserve"> Plan de riposte à la </w:t>
      </w:r>
      <w:proofErr w:type="spellStart"/>
      <w:r w:rsidR="006072DE">
        <w:rPr>
          <w:rFonts w:ascii="Arial" w:hAnsi="Arial" w:cs="Arial"/>
          <w:sz w:val="20"/>
          <w:szCs w:val="20"/>
        </w:rPr>
        <w:t>Covid</w:t>
      </w:r>
      <w:proofErr w:type="spellEnd"/>
      <w:r w:rsidR="006072DE">
        <w:rPr>
          <w:rFonts w:ascii="Arial" w:hAnsi="Arial" w:cs="Arial"/>
          <w:sz w:val="20"/>
          <w:szCs w:val="20"/>
        </w:rPr>
        <w:t xml:space="preserve"> 19</w:t>
      </w:r>
      <w:r w:rsidR="009652D0">
        <w:rPr>
          <w:rFonts w:ascii="Arial" w:hAnsi="Arial" w:cs="Arial"/>
          <w:sz w:val="20"/>
          <w:szCs w:val="20"/>
        </w:rPr>
        <w:t xml:space="preserve">. </w:t>
      </w:r>
    </w:p>
    <w:p w:rsidR="005537B0" w:rsidRDefault="009652D0">
      <w:pPr>
        <w:jc w:val="both"/>
        <w:rPr>
          <w:rFonts w:ascii="Arial" w:hAnsi="Arial" w:cs="Arial"/>
          <w:sz w:val="20"/>
          <w:szCs w:val="20"/>
        </w:rPr>
      </w:pPr>
      <w:r>
        <w:rPr>
          <w:rFonts w:ascii="Arial" w:hAnsi="Arial" w:cs="Arial"/>
          <w:sz w:val="20"/>
          <w:szCs w:val="20"/>
        </w:rPr>
        <w:t xml:space="preserve">Concernant </w:t>
      </w:r>
      <w:r w:rsidR="001B3770">
        <w:rPr>
          <w:rFonts w:ascii="Arial" w:hAnsi="Arial" w:cs="Arial"/>
          <w:sz w:val="20"/>
          <w:szCs w:val="20"/>
        </w:rPr>
        <w:t>la modernisation de la gestion de la</w:t>
      </w:r>
      <w:r>
        <w:rPr>
          <w:rFonts w:ascii="Arial" w:hAnsi="Arial" w:cs="Arial"/>
          <w:sz w:val="20"/>
          <w:szCs w:val="20"/>
        </w:rPr>
        <w:t xml:space="preserve"> trésorerie</w:t>
      </w:r>
      <w:r w:rsidR="001B3770">
        <w:rPr>
          <w:rFonts w:ascii="Arial" w:hAnsi="Arial" w:cs="Arial"/>
          <w:sz w:val="20"/>
          <w:szCs w:val="20"/>
        </w:rPr>
        <w:t xml:space="preserve"> de l’Etat, </w:t>
      </w:r>
      <w:r w:rsidR="00886D3F">
        <w:rPr>
          <w:rFonts w:ascii="Arial" w:hAnsi="Arial" w:cs="Arial"/>
          <w:sz w:val="20"/>
          <w:szCs w:val="20"/>
        </w:rPr>
        <w:t>le Comité</w:t>
      </w:r>
      <w:r w:rsidR="001B3770">
        <w:rPr>
          <w:rFonts w:ascii="Arial" w:hAnsi="Arial" w:cs="Arial"/>
          <w:sz w:val="20"/>
          <w:szCs w:val="20"/>
        </w:rPr>
        <w:t xml:space="preserve"> de pilotage a </w:t>
      </w:r>
      <w:r w:rsidR="009273DC">
        <w:rPr>
          <w:rFonts w:ascii="Arial" w:hAnsi="Arial" w:cs="Arial"/>
          <w:sz w:val="20"/>
          <w:szCs w:val="20"/>
        </w:rPr>
        <w:t xml:space="preserve">notamment </w:t>
      </w:r>
      <w:r w:rsidRPr="009652D0">
        <w:rPr>
          <w:rFonts w:ascii="Arial" w:hAnsi="Arial" w:cs="Arial"/>
          <w:sz w:val="20"/>
          <w:szCs w:val="20"/>
        </w:rPr>
        <w:t>apprécié la signature de la convention du C</w:t>
      </w:r>
      <w:r w:rsidR="001B3770">
        <w:rPr>
          <w:rFonts w:ascii="Arial" w:hAnsi="Arial" w:cs="Arial"/>
          <w:sz w:val="20"/>
          <w:szCs w:val="20"/>
        </w:rPr>
        <w:t xml:space="preserve">ompte </w:t>
      </w:r>
      <w:r w:rsidRPr="009652D0">
        <w:rPr>
          <w:rFonts w:ascii="Arial" w:hAnsi="Arial" w:cs="Arial"/>
          <w:sz w:val="20"/>
          <w:szCs w:val="20"/>
        </w:rPr>
        <w:t>U</w:t>
      </w:r>
      <w:r w:rsidR="001B3770">
        <w:rPr>
          <w:rFonts w:ascii="Arial" w:hAnsi="Arial" w:cs="Arial"/>
          <w:sz w:val="20"/>
          <w:szCs w:val="20"/>
        </w:rPr>
        <w:t xml:space="preserve">nique du </w:t>
      </w:r>
      <w:r w:rsidRPr="009652D0">
        <w:rPr>
          <w:rFonts w:ascii="Arial" w:hAnsi="Arial" w:cs="Arial"/>
          <w:sz w:val="20"/>
          <w:szCs w:val="20"/>
        </w:rPr>
        <w:t>T</w:t>
      </w:r>
      <w:r w:rsidR="001B3770">
        <w:rPr>
          <w:rFonts w:ascii="Arial" w:hAnsi="Arial" w:cs="Arial"/>
          <w:sz w:val="20"/>
          <w:szCs w:val="20"/>
        </w:rPr>
        <w:t>résor</w:t>
      </w:r>
      <w:r w:rsidRPr="009652D0">
        <w:rPr>
          <w:rFonts w:ascii="Arial" w:hAnsi="Arial" w:cs="Arial"/>
          <w:sz w:val="20"/>
          <w:szCs w:val="20"/>
        </w:rPr>
        <w:t xml:space="preserve"> </w:t>
      </w:r>
      <w:r w:rsidR="00046548">
        <w:rPr>
          <w:rFonts w:ascii="Arial" w:hAnsi="Arial" w:cs="Arial"/>
          <w:sz w:val="20"/>
          <w:szCs w:val="20"/>
        </w:rPr>
        <w:t xml:space="preserve">(CUT) </w:t>
      </w:r>
      <w:r w:rsidRPr="009652D0">
        <w:rPr>
          <w:rFonts w:ascii="Arial" w:hAnsi="Arial" w:cs="Arial"/>
          <w:sz w:val="20"/>
          <w:szCs w:val="20"/>
        </w:rPr>
        <w:t xml:space="preserve">entre le </w:t>
      </w:r>
      <w:r w:rsidR="001B3770" w:rsidRPr="009652D0">
        <w:rPr>
          <w:rFonts w:ascii="Arial" w:hAnsi="Arial" w:cs="Arial"/>
          <w:sz w:val="20"/>
          <w:szCs w:val="20"/>
        </w:rPr>
        <w:t>M</w:t>
      </w:r>
      <w:r w:rsidR="001B3770">
        <w:rPr>
          <w:rFonts w:ascii="Arial" w:hAnsi="Arial" w:cs="Arial"/>
          <w:sz w:val="20"/>
          <w:szCs w:val="20"/>
        </w:rPr>
        <w:t xml:space="preserve">inistère </w:t>
      </w:r>
      <w:r w:rsidR="000643E9">
        <w:rPr>
          <w:rFonts w:ascii="Arial" w:hAnsi="Arial" w:cs="Arial"/>
          <w:sz w:val="20"/>
          <w:szCs w:val="20"/>
        </w:rPr>
        <w:t xml:space="preserve">de l’Economie et </w:t>
      </w:r>
      <w:r w:rsidR="001B3770">
        <w:rPr>
          <w:rFonts w:ascii="Arial" w:hAnsi="Arial" w:cs="Arial"/>
          <w:sz w:val="20"/>
          <w:szCs w:val="20"/>
        </w:rPr>
        <w:t xml:space="preserve">des Finances et la Banque Centrale de la République </w:t>
      </w:r>
      <w:r w:rsidR="009273DC">
        <w:rPr>
          <w:rFonts w:ascii="Arial" w:hAnsi="Arial" w:cs="Arial"/>
          <w:sz w:val="20"/>
          <w:szCs w:val="20"/>
        </w:rPr>
        <w:t xml:space="preserve">de Guinée et </w:t>
      </w:r>
      <w:r w:rsidR="004D6E95">
        <w:rPr>
          <w:rFonts w:ascii="Arial" w:hAnsi="Arial" w:cs="Arial"/>
          <w:sz w:val="20"/>
          <w:szCs w:val="20"/>
        </w:rPr>
        <w:t xml:space="preserve">encouragé les acteurs </w:t>
      </w:r>
      <w:r w:rsidR="000643E9">
        <w:rPr>
          <w:rFonts w:ascii="Arial" w:hAnsi="Arial" w:cs="Arial"/>
          <w:sz w:val="20"/>
          <w:szCs w:val="20"/>
        </w:rPr>
        <w:t>à</w:t>
      </w:r>
      <w:r w:rsidR="004D6E95">
        <w:rPr>
          <w:rFonts w:ascii="Arial" w:hAnsi="Arial" w:cs="Arial"/>
          <w:sz w:val="20"/>
          <w:szCs w:val="20"/>
        </w:rPr>
        <w:t xml:space="preserve"> poursuivre</w:t>
      </w:r>
      <w:r w:rsidR="009273DC">
        <w:rPr>
          <w:rFonts w:ascii="Arial" w:hAnsi="Arial" w:cs="Arial"/>
          <w:sz w:val="20"/>
          <w:szCs w:val="20"/>
        </w:rPr>
        <w:t xml:space="preserve">, </w:t>
      </w:r>
      <w:r w:rsidR="001B3770">
        <w:rPr>
          <w:rFonts w:ascii="Arial" w:hAnsi="Arial" w:cs="Arial"/>
          <w:sz w:val="20"/>
          <w:szCs w:val="20"/>
        </w:rPr>
        <w:t xml:space="preserve">avec l’appui </w:t>
      </w:r>
      <w:r w:rsidR="009273DC">
        <w:rPr>
          <w:rFonts w:ascii="Arial" w:hAnsi="Arial" w:cs="Arial"/>
          <w:sz w:val="20"/>
          <w:szCs w:val="20"/>
        </w:rPr>
        <w:t xml:space="preserve">du Projet, </w:t>
      </w:r>
      <w:r w:rsidRPr="009652D0">
        <w:rPr>
          <w:rFonts w:ascii="Arial" w:hAnsi="Arial" w:cs="Arial"/>
          <w:sz w:val="20"/>
          <w:szCs w:val="20"/>
        </w:rPr>
        <w:t>l’élarg</w:t>
      </w:r>
      <w:r w:rsidR="001B3770">
        <w:rPr>
          <w:rFonts w:ascii="Arial" w:hAnsi="Arial" w:cs="Arial"/>
          <w:sz w:val="20"/>
          <w:szCs w:val="20"/>
        </w:rPr>
        <w:t>issement du périmètre du CUT et</w:t>
      </w:r>
      <w:r w:rsidRPr="009652D0">
        <w:rPr>
          <w:rFonts w:ascii="Arial" w:hAnsi="Arial" w:cs="Arial"/>
          <w:sz w:val="20"/>
          <w:szCs w:val="20"/>
        </w:rPr>
        <w:t xml:space="preserve"> l’assainissement des comptes bancaires publics</w:t>
      </w:r>
      <w:r w:rsidR="001B3770">
        <w:rPr>
          <w:rFonts w:ascii="Arial" w:hAnsi="Arial" w:cs="Arial"/>
          <w:sz w:val="20"/>
          <w:szCs w:val="20"/>
        </w:rPr>
        <w:t>.</w:t>
      </w:r>
      <w:r w:rsidRPr="009652D0">
        <w:rPr>
          <w:rFonts w:ascii="Arial" w:hAnsi="Arial" w:cs="Arial"/>
          <w:sz w:val="20"/>
          <w:szCs w:val="20"/>
        </w:rPr>
        <w:t xml:space="preserve"> </w:t>
      </w:r>
    </w:p>
    <w:p w:rsidR="00E54209" w:rsidRDefault="00E54209">
      <w:pPr>
        <w:spacing w:after="0" w:line="240" w:lineRule="auto"/>
        <w:rPr>
          <w:rFonts w:ascii="Arial" w:hAnsi="Arial" w:cs="Arial"/>
          <w:sz w:val="20"/>
          <w:szCs w:val="20"/>
        </w:rPr>
      </w:pPr>
    </w:p>
    <w:p w:rsidR="005537B0" w:rsidRDefault="009652D0">
      <w:pPr>
        <w:jc w:val="both"/>
        <w:rPr>
          <w:rFonts w:ascii="Arial" w:hAnsi="Arial" w:cs="Arial"/>
          <w:sz w:val="20"/>
          <w:szCs w:val="20"/>
        </w:rPr>
      </w:pPr>
      <w:r>
        <w:rPr>
          <w:rFonts w:ascii="Arial" w:hAnsi="Arial" w:cs="Arial"/>
          <w:sz w:val="20"/>
          <w:szCs w:val="20"/>
        </w:rPr>
        <w:t xml:space="preserve">Enfin, </w:t>
      </w:r>
      <w:r w:rsidR="00725925">
        <w:rPr>
          <w:rFonts w:ascii="Arial" w:hAnsi="Arial" w:cs="Arial"/>
          <w:sz w:val="20"/>
          <w:szCs w:val="20"/>
        </w:rPr>
        <w:t>le Comité de pilotage</w:t>
      </w:r>
      <w:r w:rsidR="00725925" w:rsidRPr="00725925">
        <w:rPr>
          <w:rFonts w:ascii="Arial" w:hAnsi="Arial" w:cs="Arial"/>
          <w:sz w:val="20"/>
          <w:szCs w:val="20"/>
        </w:rPr>
        <w:t xml:space="preserve"> </w:t>
      </w:r>
      <w:r w:rsidR="00725925">
        <w:rPr>
          <w:rFonts w:ascii="Arial" w:hAnsi="Arial" w:cs="Arial"/>
          <w:sz w:val="20"/>
          <w:szCs w:val="20"/>
        </w:rPr>
        <w:t>s’est félicité de</w:t>
      </w:r>
      <w:r w:rsidR="00725925" w:rsidRPr="00725925">
        <w:rPr>
          <w:rFonts w:ascii="Arial" w:hAnsi="Arial" w:cs="Arial"/>
          <w:sz w:val="20"/>
          <w:szCs w:val="20"/>
        </w:rPr>
        <w:t xml:space="preserve"> </w:t>
      </w:r>
      <w:r w:rsidR="004D6E95">
        <w:rPr>
          <w:rFonts w:ascii="Arial" w:hAnsi="Arial" w:cs="Arial"/>
          <w:sz w:val="20"/>
          <w:szCs w:val="20"/>
        </w:rPr>
        <w:t xml:space="preserve">l’adoption de </w:t>
      </w:r>
      <w:r w:rsidR="00725925" w:rsidRPr="00725925">
        <w:rPr>
          <w:rFonts w:ascii="Arial" w:hAnsi="Arial" w:cs="Arial"/>
          <w:sz w:val="20"/>
          <w:szCs w:val="20"/>
        </w:rPr>
        <w:t>l’arrêté portant statuts-type des E</w:t>
      </w:r>
      <w:r w:rsidR="008A5043">
        <w:rPr>
          <w:rFonts w:ascii="Arial" w:hAnsi="Arial" w:cs="Arial"/>
          <w:sz w:val="20"/>
          <w:szCs w:val="20"/>
        </w:rPr>
        <w:t xml:space="preserve">tablissements </w:t>
      </w:r>
      <w:r w:rsidR="00725925" w:rsidRPr="00725925">
        <w:rPr>
          <w:rFonts w:ascii="Arial" w:hAnsi="Arial" w:cs="Arial"/>
          <w:sz w:val="20"/>
          <w:szCs w:val="20"/>
        </w:rPr>
        <w:t>P</w:t>
      </w:r>
      <w:r w:rsidR="008A5043">
        <w:rPr>
          <w:rFonts w:ascii="Arial" w:hAnsi="Arial" w:cs="Arial"/>
          <w:sz w:val="20"/>
          <w:szCs w:val="20"/>
        </w:rPr>
        <w:t xml:space="preserve">ublics </w:t>
      </w:r>
      <w:r w:rsidR="00725925" w:rsidRPr="00725925">
        <w:rPr>
          <w:rFonts w:ascii="Arial" w:hAnsi="Arial" w:cs="Arial"/>
          <w:sz w:val="20"/>
          <w:szCs w:val="20"/>
        </w:rPr>
        <w:t>A</w:t>
      </w:r>
      <w:r w:rsidR="008A5043">
        <w:rPr>
          <w:rFonts w:ascii="Arial" w:hAnsi="Arial" w:cs="Arial"/>
          <w:sz w:val="20"/>
          <w:szCs w:val="20"/>
        </w:rPr>
        <w:t>dministratifs (EPA)</w:t>
      </w:r>
      <w:r w:rsidR="00725925" w:rsidRPr="00725925">
        <w:rPr>
          <w:rFonts w:ascii="Arial" w:hAnsi="Arial" w:cs="Arial"/>
          <w:sz w:val="20"/>
          <w:szCs w:val="20"/>
        </w:rPr>
        <w:t xml:space="preserve"> </w:t>
      </w:r>
      <w:r w:rsidR="00725925">
        <w:rPr>
          <w:rFonts w:ascii="Arial" w:hAnsi="Arial" w:cs="Arial"/>
          <w:sz w:val="20"/>
          <w:szCs w:val="20"/>
        </w:rPr>
        <w:t xml:space="preserve">et a encouragé à la mise en cohérence des </w:t>
      </w:r>
      <w:r w:rsidR="00725925" w:rsidRPr="00725925">
        <w:rPr>
          <w:rFonts w:ascii="Arial" w:hAnsi="Arial" w:cs="Arial"/>
          <w:sz w:val="20"/>
          <w:szCs w:val="20"/>
        </w:rPr>
        <w:t>statuts de</w:t>
      </w:r>
      <w:r w:rsidR="009273DC">
        <w:rPr>
          <w:rFonts w:ascii="Arial" w:hAnsi="Arial" w:cs="Arial"/>
          <w:sz w:val="20"/>
          <w:szCs w:val="20"/>
        </w:rPr>
        <w:t xml:space="preserve"> ces organismes</w:t>
      </w:r>
      <w:r w:rsidR="00725925" w:rsidRPr="00725925">
        <w:rPr>
          <w:rFonts w:ascii="Arial" w:hAnsi="Arial" w:cs="Arial"/>
          <w:sz w:val="20"/>
          <w:szCs w:val="20"/>
        </w:rPr>
        <w:t xml:space="preserve"> a</w:t>
      </w:r>
      <w:r w:rsidR="00725925">
        <w:rPr>
          <w:rFonts w:ascii="Arial" w:hAnsi="Arial" w:cs="Arial"/>
          <w:sz w:val="20"/>
          <w:szCs w:val="20"/>
        </w:rPr>
        <w:t>vec la nouvelle règlementation</w:t>
      </w:r>
      <w:r w:rsidR="00046548">
        <w:rPr>
          <w:rFonts w:ascii="Arial" w:hAnsi="Arial" w:cs="Arial"/>
          <w:sz w:val="20"/>
          <w:szCs w:val="20"/>
        </w:rPr>
        <w:t>,</w:t>
      </w:r>
      <w:r w:rsidR="00725925" w:rsidRPr="00725925">
        <w:rPr>
          <w:rFonts w:ascii="Arial" w:hAnsi="Arial" w:cs="Arial"/>
          <w:sz w:val="20"/>
          <w:szCs w:val="20"/>
        </w:rPr>
        <w:t xml:space="preserve"> </w:t>
      </w:r>
      <w:r w:rsidR="00725925">
        <w:rPr>
          <w:rFonts w:ascii="Arial" w:hAnsi="Arial" w:cs="Arial"/>
          <w:sz w:val="20"/>
          <w:szCs w:val="20"/>
        </w:rPr>
        <w:t xml:space="preserve">afin </w:t>
      </w:r>
      <w:r w:rsidR="004D6E95">
        <w:rPr>
          <w:rFonts w:ascii="Arial" w:hAnsi="Arial" w:cs="Arial"/>
          <w:sz w:val="20"/>
          <w:szCs w:val="20"/>
        </w:rPr>
        <w:t>d’assurer une meilleure ma</w:t>
      </w:r>
      <w:r w:rsidR="000643E9">
        <w:rPr>
          <w:rFonts w:ascii="Arial" w:hAnsi="Arial" w:cs="Arial"/>
          <w:sz w:val="20"/>
          <w:szCs w:val="20"/>
        </w:rPr>
        <w:t>î</w:t>
      </w:r>
      <w:r w:rsidR="004D6E95">
        <w:rPr>
          <w:rFonts w:ascii="Arial" w:hAnsi="Arial" w:cs="Arial"/>
          <w:sz w:val="20"/>
          <w:szCs w:val="20"/>
        </w:rPr>
        <w:t xml:space="preserve">trise des risques éventuels </w:t>
      </w:r>
      <w:r w:rsidR="00725925">
        <w:rPr>
          <w:rFonts w:ascii="Arial" w:hAnsi="Arial" w:cs="Arial"/>
          <w:sz w:val="20"/>
          <w:szCs w:val="20"/>
        </w:rPr>
        <w:t>que font peser ces organismes sur les finances publiques</w:t>
      </w:r>
      <w:r w:rsidR="00725925" w:rsidRPr="00725925">
        <w:rPr>
          <w:rFonts w:ascii="Arial" w:hAnsi="Arial" w:cs="Arial"/>
          <w:sz w:val="20"/>
          <w:szCs w:val="20"/>
        </w:rPr>
        <w:t>.</w:t>
      </w:r>
    </w:p>
    <w:p w:rsidR="005537B0" w:rsidRDefault="004D6E95">
      <w:pPr>
        <w:jc w:val="both"/>
        <w:rPr>
          <w:rFonts w:ascii="Arial" w:hAnsi="Arial" w:cs="Arial"/>
          <w:sz w:val="20"/>
          <w:szCs w:val="20"/>
        </w:rPr>
      </w:pPr>
      <w:r>
        <w:rPr>
          <w:rFonts w:ascii="Arial" w:hAnsi="Arial" w:cs="Arial"/>
          <w:sz w:val="20"/>
          <w:szCs w:val="20"/>
        </w:rPr>
        <w:t>Le</w:t>
      </w:r>
      <w:r w:rsidR="00725925">
        <w:rPr>
          <w:rFonts w:ascii="Arial" w:hAnsi="Arial" w:cs="Arial"/>
          <w:sz w:val="20"/>
          <w:szCs w:val="20"/>
        </w:rPr>
        <w:t xml:space="preserve"> Comité de pilotage </w:t>
      </w:r>
      <w:r>
        <w:rPr>
          <w:rFonts w:ascii="Arial" w:hAnsi="Arial" w:cs="Arial"/>
          <w:sz w:val="20"/>
          <w:szCs w:val="20"/>
        </w:rPr>
        <w:t xml:space="preserve">a </w:t>
      </w:r>
      <w:r w:rsidR="009273DC">
        <w:rPr>
          <w:rFonts w:ascii="Arial" w:hAnsi="Arial" w:cs="Arial"/>
          <w:sz w:val="20"/>
          <w:szCs w:val="20"/>
        </w:rPr>
        <w:t xml:space="preserve">conclu </w:t>
      </w:r>
      <w:r>
        <w:rPr>
          <w:rFonts w:ascii="Arial" w:hAnsi="Arial" w:cs="Arial"/>
          <w:sz w:val="20"/>
          <w:szCs w:val="20"/>
        </w:rPr>
        <w:t xml:space="preserve">ses travaux </w:t>
      </w:r>
      <w:r w:rsidR="009273DC">
        <w:rPr>
          <w:rFonts w:ascii="Arial" w:hAnsi="Arial" w:cs="Arial"/>
          <w:sz w:val="20"/>
          <w:szCs w:val="20"/>
        </w:rPr>
        <w:t xml:space="preserve">en convenant de </w:t>
      </w:r>
      <w:r w:rsidR="00725925">
        <w:rPr>
          <w:rFonts w:ascii="Arial" w:hAnsi="Arial" w:cs="Arial"/>
          <w:sz w:val="20"/>
          <w:szCs w:val="20"/>
        </w:rPr>
        <w:t xml:space="preserve">poursuivre </w:t>
      </w:r>
      <w:r>
        <w:rPr>
          <w:rFonts w:ascii="Arial" w:hAnsi="Arial" w:cs="Arial"/>
          <w:sz w:val="20"/>
          <w:szCs w:val="20"/>
        </w:rPr>
        <w:t xml:space="preserve">et de renforcer le dialogue permanent entre ses membres </w:t>
      </w:r>
      <w:r w:rsidR="00C53ACE">
        <w:rPr>
          <w:rFonts w:ascii="Arial" w:hAnsi="Arial" w:cs="Arial"/>
          <w:sz w:val="20"/>
          <w:szCs w:val="20"/>
        </w:rPr>
        <w:t xml:space="preserve">de </w:t>
      </w:r>
      <w:r w:rsidR="004D0CF9">
        <w:rPr>
          <w:rFonts w:ascii="Arial" w:hAnsi="Arial" w:cs="Arial"/>
          <w:sz w:val="20"/>
          <w:szCs w:val="20"/>
        </w:rPr>
        <w:t>« </w:t>
      </w:r>
      <w:r w:rsidR="005B6B77" w:rsidRPr="001E5E9D">
        <w:rPr>
          <w:rFonts w:ascii="Arial" w:hAnsi="Arial" w:cs="Arial"/>
          <w:i/>
          <w:sz w:val="20"/>
          <w:szCs w:val="20"/>
        </w:rPr>
        <w:t xml:space="preserve">récolter </w:t>
      </w:r>
      <w:r w:rsidR="008F4DBE" w:rsidRPr="008F4DBE">
        <w:rPr>
          <w:rFonts w:ascii="Arial" w:hAnsi="Arial" w:cs="Arial"/>
          <w:i/>
          <w:sz w:val="20"/>
          <w:szCs w:val="20"/>
        </w:rPr>
        <w:t>à</w:t>
      </w:r>
      <w:r w:rsidR="005B6B77" w:rsidRPr="001E5E9D">
        <w:rPr>
          <w:rFonts w:ascii="Arial" w:hAnsi="Arial" w:cs="Arial"/>
          <w:i/>
          <w:sz w:val="20"/>
          <w:szCs w:val="20"/>
        </w:rPr>
        <w:t xml:space="preserve"> sa prochaine session</w:t>
      </w:r>
      <w:r w:rsidR="005B6B77">
        <w:rPr>
          <w:rFonts w:ascii="Arial" w:hAnsi="Arial" w:cs="Arial"/>
          <w:sz w:val="20"/>
          <w:szCs w:val="20"/>
        </w:rPr>
        <w:t xml:space="preserve">, </w:t>
      </w:r>
      <w:r w:rsidR="005B6B77" w:rsidRPr="001E5E9D">
        <w:rPr>
          <w:rFonts w:ascii="Arial" w:hAnsi="Arial" w:cs="Arial"/>
          <w:i/>
          <w:sz w:val="20"/>
          <w:szCs w:val="20"/>
        </w:rPr>
        <w:t>les fruits des</w:t>
      </w:r>
      <w:r w:rsidR="005B6B77">
        <w:rPr>
          <w:rFonts w:ascii="Arial" w:hAnsi="Arial" w:cs="Arial"/>
          <w:sz w:val="20"/>
          <w:szCs w:val="20"/>
        </w:rPr>
        <w:t xml:space="preserve"> </w:t>
      </w:r>
      <w:r w:rsidR="004D0CF9" w:rsidRPr="006B0223">
        <w:rPr>
          <w:rFonts w:ascii="Arial" w:hAnsi="Arial" w:cs="Arial"/>
          <w:i/>
          <w:sz w:val="20"/>
          <w:szCs w:val="20"/>
        </w:rPr>
        <w:t>graines qui ont été semées</w:t>
      </w:r>
      <w:r w:rsidR="004D0CF9">
        <w:rPr>
          <w:rFonts w:ascii="Arial" w:hAnsi="Arial" w:cs="Arial"/>
          <w:sz w:val="20"/>
          <w:szCs w:val="20"/>
        </w:rPr>
        <w:t> </w:t>
      </w:r>
      <w:r w:rsidR="009273DC" w:rsidRPr="009273DC">
        <w:rPr>
          <w:rFonts w:ascii="Arial" w:hAnsi="Arial" w:cs="Arial"/>
          <w:i/>
          <w:sz w:val="20"/>
          <w:szCs w:val="20"/>
        </w:rPr>
        <w:t xml:space="preserve">en 2020 et </w:t>
      </w:r>
      <w:r w:rsidR="004B4CA4">
        <w:rPr>
          <w:rFonts w:ascii="Arial" w:hAnsi="Arial" w:cs="Arial"/>
          <w:i/>
          <w:sz w:val="20"/>
          <w:szCs w:val="20"/>
        </w:rPr>
        <w:t xml:space="preserve">en début </w:t>
      </w:r>
      <w:r w:rsidR="009273DC" w:rsidRPr="009273DC">
        <w:rPr>
          <w:rFonts w:ascii="Arial" w:hAnsi="Arial" w:cs="Arial"/>
          <w:i/>
          <w:sz w:val="20"/>
          <w:szCs w:val="20"/>
        </w:rPr>
        <w:t>2021</w:t>
      </w:r>
      <w:r w:rsidR="00046548">
        <w:rPr>
          <w:rFonts w:ascii="Arial" w:hAnsi="Arial" w:cs="Arial"/>
          <w:i/>
          <w:sz w:val="20"/>
          <w:szCs w:val="20"/>
        </w:rPr>
        <w:t xml:space="preserve"> </w:t>
      </w:r>
      <w:r w:rsidR="004D0CF9">
        <w:rPr>
          <w:rFonts w:ascii="Arial" w:hAnsi="Arial" w:cs="Arial"/>
          <w:sz w:val="20"/>
          <w:szCs w:val="20"/>
        </w:rPr>
        <w:t>».</w:t>
      </w:r>
      <w:r w:rsidR="004B4CA4">
        <w:rPr>
          <w:rFonts w:ascii="Arial" w:hAnsi="Arial" w:cs="Arial"/>
          <w:sz w:val="20"/>
          <w:szCs w:val="20"/>
        </w:rPr>
        <w:t xml:space="preserve"> Le prochain Comité </w:t>
      </w:r>
      <w:r w:rsidR="004B4CA4" w:rsidRPr="004D3EA3">
        <w:rPr>
          <w:rFonts w:ascii="Arial" w:hAnsi="Arial" w:cs="Arial"/>
          <w:sz w:val="20"/>
          <w:szCs w:val="20"/>
        </w:rPr>
        <w:t>de pilotage est prévu </w:t>
      </w:r>
      <w:r w:rsidR="00E54209" w:rsidRPr="004D3EA3">
        <w:rPr>
          <w:rFonts w:ascii="Arial" w:hAnsi="Arial" w:cs="Arial"/>
          <w:sz w:val="20"/>
          <w:szCs w:val="20"/>
        </w:rPr>
        <w:t xml:space="preserve">en </w:t>
      </w:r>
      <w:r w:rsidR="004D3EA3" w:rsidRPr="004D3EA3">
        <w:rPr>
          <w:rFonts w:ascii="Arial" w:hAnsi="Arial" w:cs="Arial"/>
          <w:sz w:val="20"/>
          <w:szCs w:val="20"/>
        </w:rPr>
        <w:t xml:space="preserve">février </w:t>
      </w:r>
      <w:r w:rsidR="00E54209" w:rsidRPr="004D3EA3">
        <w:rPr>
          <w:rFonts w:ascii="Arial" w:hAnsi="Arial" w:cs="Arial"/>
          <w:sz w:val="20"/>
          <w:szCs w:val="20"/>
        </w:rPr>
        <w:t>2022.</w:t>
      </w:r>
    </w:p>
    <w:p w:rsidR="006B4253" w:rsidRPr="006B4253" w:rsidRDefault="001B24D9" w:rsidP="002B2F5F">
      <w:pPr>
        <w:spacing w:after="120"/>
        <w:ind w:left="-284" w:right="-284"/>
        <w:jc w:val="center"/>
        <w:rPr>
          <w:rFonts w:ascii="Times New Roman" w:hAnsi="Times New Roman"/>
          <w:i/>
          <w:iCs/>
          <w:sz w:val="18"/>
          <w:szCs w:val="24"/>
        </w:rPr>
      </w:pPr>
      <w:r w:rsidRPr="006B4253">
        <w:rPr>
          <w:rFonts w:ascii="Times New Roman" w:hAnsi="Times New Roman"/>
          <w:i/>
          <w:iCs/>
          <w:sz w:val="18"/>
          <w:szCs w:val="24"/>
        </w:rPr>
        <w:t>***</w:t>
      </w:r>
    </w:p>
    <w:p w:rsidR="00C1252D" w:rsidRDefault="00725925">
      <w:pPr>
        <w:spacing w:after="120"/>
        <w:ind w:left="-284" w:right="-284"/>
        <w:jc w:val="center"/>
        <w:rPr>
          <w:rFonts w:ascii="Times New Roman" w:hAnsi="Times New Roman"/>
          <w:b/>
          <w:i/>
          <w:iCs/>
          <w:color w:val="C00000"/>
          <w:sz w:val="18"/>
          <w:szCs w:val="24"/>
        </w:rPr>
      </w:pPr>
      <w:r w:rsidRPr="00725925">
        <w:rPr>
          <w:rFonts w:ascii="Times New Roman" w:hAnsi="Times New Roman"/>
          <w:b/>
          <w:i/>
          <w:iCs/>
          <w:color w:val="C00000"/>
          <w:sz w:val="18"/>
          <w:szCs w:val="24"/>
        </w:rPr>
        <w:t>Pour plus d’informations, merci de contacter :</w:t>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255"/>
      </w:tblGrid>
      <w:tr w:rsidR="00BF5247" w:rsidRPr="006B4253" w:rsidTr="002B2F5F">
        <w:trPr>
          <w:trHeight w:val="458"/>
        </w:trPr>
        <w:tc>
          <w:tcPr>
            <w:tcW w:w="959" w:type="dxa"/>
          </w:tcPr>
          <w:p w:rsidR="00C1252D" w:rsidRDefault="00BF5247">
            <w:pPr>
              <w:spacing w:after="0" w:line="240" w:lineRule="auto"/>
              <w:ind w:right="-284"/>
              <w:rPr>
                <w:b/>
                <w:bCs/>
                <w:sz w:val="18"/>
                <w:szCs w:val="24"/>
              </w:rPr>
            </w:pPr>
            <w:r w:rsidRPr="006B4253">
              <w:rPr>
                <w:b/>
                <w:bCs/>
                <w:noProof/>
                <w:sz w:val="18"/>
                <w:szCs w:val="24"/>
              </w:rPr>
              <w:drawing>
                <wp:inline distT="0" distB="0" distL="0" distR="0">
                  <wp:extent cx="354878" cy="372622"/>
                  <wp:effectExtent l="19050" t="0" r="7072"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cstate="print"/>
                          <a:srcRect/>
                          <a:stretch>
                            <a:fillRect/>
                          </a:stretch>
                        </pic:blipFill>
                        <pic:spPr bwMode="auto">
                          <a:xfrm>
                            <a:off x="0" y="0"/>
                            <a:ext cx="358899" cy="376844"/>
                          </a:xfrm>
                          <a:prstGeom prst="rect">
                            <a:avLst/>
                          </a:prstGeom>
                          <a:noFill/>
                          <a:ln w="9525">
                            <a:noFill/>
                            <a:miter lim="800000"/>
                            <a:headEnd/>
                            <a:tailEnd/>
                          </a:ln>
                        </pic:spPr>
                      </pic:pic>
                    </a:graphicData>
                  </a:graphic>
                </wp:inline>
              </w:drawing>
            </w:r>
          </w:p>
        </w:tc>
        <w:tc>
          <w:tcPr>
            <w:tcW w:w="8255" w:type="dxa"/>
          </w:tcPr>
          <w:p w:rsidR="00BF5247" w:rsidRPr="006B4253" w:rsidRDefault="00BF5247" w:rsidP="002B2F5F">
            <w:pPr>
              <w:spacing w:after="0" w:line="240" w:lineRule="auto"/>
              <w:ind w:right="-284"/>
              <w:jc w:val="both"/>
              <w:rPr>
                <w:bCs/>
                <w:i/>
                <w:color w:val="0070C0"/>
                <w:sz w:val="18"/>
                <w:szCs w:val="24"/>
              </w:rPr>
            </w:pPr>
            <w:r w:rsidRPr="006B4253">
              <w:rPr>
                <w:b/>
                <w:bCs/>
                <w:sz w:val="18"/>
                <w:szCs w:val="24"/>
              </w:rPr>
              <w:t>M</w:t>
            </w:r>
            <w:r w:rsidR="00151D1B" w:rsidRPr="006B4253">
              <w:rPr>
                <w:b/>
                <w:bCs/>
                <w:sz w:val="18"/>
                <w:szCs w:val="24"/>
              </w:rPr>
              <w:t>me</w:t>
            </w:r>
            <w:r w:rsidRPr="006B4253">
              <w:rPr>
                <w:b/>
                <w:bCs/>
                <w:sz w:val="18"/>
                <w:szCs w:val="24"/>
              </w:rPr>
              <w:t xml:space="preserve"> </w:t>
            </w:r>
            <w:r w:rsidR="00151D1B" w:rsidRPr="006B4253">
              <w:rPr>
                <w:b/>
                <w:bCs/>
                <w:sz w:val="18"/>
                <w:szCs w:val="24"/>
              </w:rPr>
              <w:t xml:space="preserve">Mariam Camara </w:t>
            </w:r>
            <w:r w:rsidRPr="006B4253">
              <w:rPr>
                <w:b/>
                <w:bCs/>
                <w:sz w:val="18"/>
                <w:szCs w:val="24"/>
              </w:rPr>
              <w:t xml:space="preserve">– </w:t>
            </w:r>
            <w:r w:rsidRPr="006B4253">
              <w:rPr>
                <w:bCs/>
                <w:i/>
                <w:sz w:val="18"/>
                <w:szCs w:val="24"/>
              </w:rPr>
              <w:t>Service de communication du Ministère de l’Economie et des Finances</w:t>
            </w:r>
            <w:r w:rsidR="008D38E6" w:rsidRPr="006B4253">
              <w:rPr>
                <w:bCs/>
                <w:i/>
                <w:sz w:val="18"/>
                <w:szCs w:val="24"/>
              </w:rPr>
              <w:t xml:space="preserve"> </w:t>
            </w:r>
            <w:r w:rsidR="00C108F9">
              <w:rPr>
                <w:bCs/>
                <w:i/>
                <w:sz w:val="18"/>
                <w:szCs w:val="24"/>
              </w:rPr>
              <w:t>–</w:t>
            </w:r>
            <w:r w:rsidR="008D38E6" w:rsidRPr="006B4253">
              <w:rPr>
                <w:bCs/>
                <w:i/>
                <w:sz w:val="18"/>
                <w:szCs w:val="24"/>
              </w:rPr>
              <w:t xml:space="preserve"> E</w:t>
            </w:r>
            <w:r w:rsidR="00C108F9">
              <w:rPr>
                <w:bCs/>
                <w:i/>
                <w:sz w:val="18"/>
                <w:szCs w:val="24"/>
              </w:rPr>
              <w:t>-</w:t>
            </w:r>
            <w:r w:rsidR="008D38E6" w:rsidRPr="006B4253">
              <w:rPr>
                <w:bCs/>
                <w:i/>
                <w:sz w:val="18"/>
                <w:szCs w:val="24"/>
              </w:rPr>
              <w:t>ma</w:t>
            </w:r>
            <w:r w:rsidR="00C108F9">
              <w:rPr>
                <w:bCs/>
                <w:i/>
                <w:sz w:val="18"/>
                <w:szCs w:val="24"/>
              </w:rPr>
              <w:t>il :</w:t>
            </w:r>
            <w:r w:rsidR="008D38E6" w:rsidRPr="006B4253">
              <w:rPr>
                <w:bCs/>
                <w:i/>
                <w:sz w:val="18"/>
                <w:szCs w:val="24"/>
              </w:rPr>
              <w:t>il :</w:t>
            </w:r>
            <w:r w:rsidR="00CB4847" w:rsidRPr="006B4253">
              <w:rPr>
                <w:bCs/>
                <w:i/>
                <w:sz w:val="18"/>
                <w:szCs w:val="24"/>
              </w:rPr>
              <w:t xml:space="preserve"> </w:t>
            </w:r>
            <w:hyperlink r:id="rId11" w:history="1">
              <w:r w:rsidR="00CB4847" w:rsidRPr="006B4253">
                <w:rPr>
                  <w:rStyle w:val="Lienhypertexte"/>
                  <w:bCs/>
                  <w:i/>
                  <w:sz w:val="18"/>
                  <w:szCs w:val="24"/>
                </w:rPr>
                <w:t>mariam.camara@mef.gov.gn</w:t>
              </w:r>
            </w:hyperlink>
          </w:p>
          <w:p w:rsidR="008D38E6" w:rsidRPr="006B4253" w:rsidRDefault="00F02D46" w:rsidP="00850DA8">
            <w:pPr>
              <w:spacing w:line="240" w:lineRule="auto"/>
              <w:ind w:right="-284"/>
              <w:rPr>
                <w:bCs/>
                <w:color w:val="0070C0"/>
                <w:sz w:val="18"/>
                <w:szCs w:val="24"/>
              </w:rPr>
            </w:pPr>
            <w:r w:rsidRPr="006B4253">
              <w:rPr>
                <w:b/>
                <w:bCs/>
                <w:sz w:val="18"/>
                <w:szCs w:val="24"/>
              </w:rPr>
              <w:t xml:space="preserve">Mme Fanta </w:t>
            </w:r>
            <w:proofErr w:type="spellStart"/>
            <w:r w:rsidRPr="006B4253">
              <w:rPr>
                <w:b/>
                <w:bCs/>
                <w:sz w:val="18"/>
                <w:szCs w:val="24"/>
              </w:rPr>
              <w:t>Diané</w:t>
            </w:r>
            <w:proofErr w:type="spellEnd"/>
            <w:r w:rsidRPr="006B4253">
              <w:rPr>
                <w:b/>
                <w:bCs/>
                <w:sz w:val="18"/>
                <w:szCs w:val="24"/>
              </w:rPr>
              <w:t xml:space="preserve"> - </w:t>
            </w:r>
            <w:r w:rsidR="008D38E6" w:rsidRPr="006B4253">
              <w:rPr>
                <w:bCs/>
                <w:i/>
                <w:sz w:val="18"/>
                <w:szCs w:val="24"/>
              </w:rPr>
              <w:t xml:space="preserve">Service de communication du Ministère du Budget – Email : </w:t>
            </w:r>
            <w:hyperlink r:id="rId12" w:history="1">
              <w:r w:rsidR="008D38E6" w:rsidRPr="006B4253">
                <w:rPr>
                  <w:rStyle w:val="Lienhypertexte"/>
                  <w:bCs/>
                  <w:i/>
                  <w:sz w:val="18"/>
                  <w:szCs w:val="24"/>
                </w:rPr>
                <w:t>ffanta.diane@gmail.com</w:t>
              </w:r>
            </w:hyperlink>
          </w:p>
        </w:tc>
      </w:tr>
      <w:tr w:rsidR="00BF5247" w:rsidRPr="006B4253" w:rsidTr="002B2F5F">
        <w:trPr>
          <w:trHeight w:val="573"/>
        </w:trPr>
        <w:tc>
          <w:tcPr>
            <w:tcW w:w="959" w:type="dxa"/>
          </w:tcPr>
          <w:p w:rsidR="00C1252D" w:rsidRDefault="00BF5247">
            <w:pPr>
              <w:spacing w:after="0" w:line="240" w:lineRule="auto"/>
              <w:ind w:right="-284"/>
              <w:rPr>
                <w:b/>
                <w:bCs/>
                <w:sz w:val="18"/>
                <w:szCs w:val="24"/>
              </w:rPr>
            </w:pPr>
            <w:r w:rsidRPr="006B4253">
              <w:rPr>
                <w:b/>
                <w:bCs/>
                <w:noProof/>
                <w:sz w:val="18"/>
                <w:szCs w:val="24"/>
              </w:rPr>
              <w:drawing>
                <wp:inline distT="0" distB="0" distL="0" distR="0">
                  <wp:extent cx="438150" cy="299720"/>
                  <wp:effectExtent l="0" t="0" r="0" b="508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cstate="print"/>
                          <a:srcRect/>
                          <a:stretch>
                            <a:fillRect/>
                          </a:stretch>
                        </pic:blipFill>
                        <pic:spPr bwMode="auto">
                          <a:xfrm>
                            <a:off x="0" y="0"/>
                            <a:ext cx="439129" cy="300390"/>
                          </a:xfrm>
                          <a:prstGeom prst="rect">
                            <a:avLst/>
                          </a:prstGeom>
                          <a:noFill/>
                          <a:ln w="9525">
                            <a:noFill/>
                            <a:miter lim="800000"/>
                            <a:headEnd/>
                            <a:tailEnd/>
                          </a:ln>
                        </pic:spPr>
                      </pic:pic>
                    </a:graphicData>
                  </a:graphic>
                </wp:inline>
              </w:drawing>
            </w:r>
          </w:p>
        </w:tc>
        <w:tc>
          <w:tcPr>
            <w:tcW w:w="8255" w:type="dxa"/>
          </w:tcPr>
          <w:p w:rsidR="00BF5247" w:rsidRPr="006B4253" w:rsidRDefault="00BF5247" w:rsidP="00850DA8">
            <w:pPr>
              <w:spacing w:line="240" w:lineRule="auto"/>
              <w:rPr>
                <w:bCs/>
                <w:i/>
                <w:color w:val="0070C0"/>
                <w:sz w:val="18"/>
                <w:szCs w:val="24"/>
              </w:rPr>
            </w:pPr>
            <w:r w:rsidRPr="006B4253">
              <w:rPr>
                <w:b/>
                <w:bCs/>
                <w:sz w:val="18"/>
                <w:szCs w:val="24"/>
              </w:rPr>
              <w:t xml:space="preserve">Simon Bouteloup - </w:t>
            </w:r>
            <w:r w:rsidRPr="006B4253">
              <w:rPr>
                <w:bCs/>
                <w:i/>
                <w:sz w:val="18"/>
                <w:szCs w:val="24"/>
              </w:rPr>
              <w:t xml:space="preserve">Chargé de programmes /Division Économie et Santé - Délégation de l'Union Européenne  </w:t>
            </w:r>
            <w:r w:rsidR="006B4253">
              <w:rPr>
                <w:bCs/>
                <w:i/>
                <w:sz w:val="18"/>
                <w:szCs w:val="24"/>
              </w:rPr>
              <w:t xml:space="preserve">en </w:t>
            </w:r>
            <w:r w:rsidRPr="006B4253">
              <w:rPr>
                <w:bCs/>
                <w:i/>
                <w:sz w:val="18"/>
                <w:szCs w:val="24"/>
              </w:rPr>
              <w:t xml:space="preserve">République de Guinée -  E-mail : </w:t>
            </w:r>
            <w:hyperlink r:id="rId14" w:history="1">
              <w:r w:rsidR="008D38E6" w:rsidRPr="006B4253">
                <w:rPr>
                  <w:rStyle w:val="Lienhypertexte"/>
                  <w:bCs/>
                  <w:i/>
                  <w:sz w:val="18"/>
                  <w:szCs w:val="24"/>
                </w:rPr>
                <w:t>simon.bouteloup@eeas.europa.eu</w:t>
              </w:r>
            </w:hyperlink>
          </w:p>
        </w:tc>
      </w:tr>
      <w:tr w:rsidR="00BF5247" w:rsidRPr="006B4253" w:rsidTr="002B2F5F">
        <w:trPr>
          <w:trHeight w:val="523"/>
        </w:trPr>
        <w:tc>
          <w:tcPr>
            <w:tcW w:w="959" w:type="dxa"/>
            <w:vAlign w:val="center"/>
          </w:tcPr>
          <w:p w:rsidR="00BF5247" w:rsidRPr="006B4253" w:rsidRDefault="00BF5247" w:rsidP="002B2F5F">
            <w:pPr>
              <w:spacing w:before="100" w:beforeAutospacing="1" w:after="100" w:afterAutospacing="1" w:line="240" w:lineRule="auto"/>
              <w:ind w:right="-284"/>
              <w:rPr>
                <w:b/>
                <w:bCs/>
                <w:sz w:val="18"/>
                <w:szCs w:val="24"/>
              </w:rPr>
            </w:pPr>
            <w:r w:rsidRPr="006B4253">
              <w:rPr>
                <w:b/>
                <w:bCs/>
                <w:noProof/>
                <w:sz w:val="18"/>
                <w:szCs w:val="24"/>
              </w:rPr>
              <w:drawing>
                <wp:inline distT="0" distB="0" distL="0" distR="0">
                  <wp:extent cx="357352" cy="357352"/>
                  <wp:effectExtent l="19050" t="0" r="4598"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57066" cy="357066"/>
                          </a:xfrm>
                          <a:prstGeom prst="rect">
                            <a:avLst/>
                          </a:prstGeom>
                          <a:noFill/>
                          <a:ln w="9525">
                            <a:noFill/>
                            <a:miter lim="800000"/>
                            <a:headEnd/>
                            <a:tailEnd/>
                          </a:ln>
                        </pic:spPr>
                      </pic:pic>
                    </a:graphicData>
                  </a:graphic>
                </wp:inline>
              </w:drawing>
            </w:r>
          </w:p>
        </w:tc>
        <w:tc>
          <w:tcPr>
            <w:tcW w:w="8255" w:type="dxa"/>
          </w:tcPr>
          <w:p w:rsidR="001B7244" w:rsidRPr="002B2F5F" w:rsidRDefault="002A274E" w:rsidP="002B2F5F">
            <w:pPr>
              <w:spacing w:after="0" w:line="240" w:lineRule="auto"/>
              <w:ind w:right="-284"/>
              <w:rPr>
                <w:bCs/>
                <w:i/>
                <w:sz w:val="18"/>
                <w:szCs w:val="24"/>
              </w:rPr>
            </w:pPr>
            <w:proofErr w:type="spellStart"/>
            <w:r w:rsidRPr="006B4253">
              <w:rPr>
                <w:b/>
                <w:bCs/>
                <w:sz w:val="18"/>
                <w:szCs w:val="24"/>
              </w:rPr>
              <w:t>Naby</w:t>
            </w:r>
            <w:proofErr w:type="spellEnd"/>
            <w:r w:rsidRPr="006B4253">
              <w:rPr>
                <w:b/>
                <w:bCs/>
                <w:sz w:val="18"/>
                <w:szCs w:val="24"/>
              </w:rPr>
              <w:t xml:space="preserve"> O</w:t>
            </w:r>
            <w:r w:rsidR="001B7244" w:rsidRPr="006B4253">
              <w:rPr>
                <w:b/>
                <w:bCs/>
                <w:sz w:val="18"/>
                <w:szCs w:val="24"/>
              </w:rPr>
              <w:t xml:space="preserve">uattara - </w:t>
            </w:r>
            <w:r w:rsidR="005E42DF" w:rsidRPr="006B4253">
              <w:rPr>
                <w:bCs/>
                <w:i/>
                <w:iCs/>
                <w:sz w:val="18"/>
                <w:szCs w:val="24"/>
              </w:rPr>
              <w:t>Conseiller résident du FMI auprès du Ministère de l’Economie et des Finances</w:t>
            </w:r>
            <w:r w:rsidR="001B7244" w:rsidRPr="006B4253">
              <w:rPr>
                <w:b/>
                <w:bCs/>
                <w:sz w:val="18"/>
                <w:szCs w:val="24"/>
              </w:rPr>
              <w:t xml:space="preserve"> - </w:t>
            </w:r>
            <w:r w:rsidR="001B7244" w:rsidRPr="006B4253">
              <w:rPr>
                <w:bCs/>
                <w:i/>
                <w:sz w:val="18"/>
                <w:szCs w:val="24"/>
              </w:rPr>
              <w:t>E-mail :</w:t>
            </w:r>
            <w:r w:rsidRPr="006B4253">
              <w:rPr>
                <w:b/>
                <w:bCs/>
                <w:sz w:val="18"/>
                <w:szCs w:val="24"/>
              </w:rPr>
              <w:t xml:space="preserve"> </w:t>
            </w:r>
            <w:hyperlink r:id="rId16" w:history="1">
              <w:r w:rsidR="001B7244" w:rsidRPr="006B4253">
                <w:rPr>
                  <w:rStyle w:val="Lienhypertexte"/>
                  <w:bCs/>
                  <w:i/>
                  <w:sz w:val="18"/>
                  <w:szCs w:val="24"/>
                </w:rPr>
                <w:t>Nouattara2@imf.org</w:t>
              </w:r>
            </w:hyperlink>
          </w:p>
        </w:tc>
      </w:tr>
    </w:tbl>
    <w:p w:rsidR="001B24D9" w:rsidRPr="00A4524A" w:rsidRDefault="001B24D9" w:rsidP="00C108F9">
      <w:pPr>
        <w:ind w:right="-283"/>
        <w:rPr>
          <w:sz w:val="20"/>
        </w:rPr>
      </w:pPr>
    </w:p>
    <w:sectPr w:rsidR="001B24D9" w:rsidRPr="00A4524A" w:rsidSect="002B2F5F">
      <w:pgSz w:w="11906" w:h="16838"/>
      <w:pgMar w:top="567" w:right="1080" w:bottom="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81" w:rsidRDefault="00E41681" w:rsidP="001024D9">
      <w:pPr>
        <w:spacing w:after="0" w:line="240" w:lineRule="auto"/>
      </w:pPr>
      <w:r>
        <w:separator/>
      </w:r>
    </w:p>
  </w:endnote>
  <w:endnote w:type="continuationSeparator" w:id="0">
    <w:p w:rsidR="00E41681" w:rsidRDefault="00E41681" w:rsidP="00102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81" w:rsidRDefault="00E41681" w:rsidP="001024D9">
      <w:pPr>
        <w:spacing w:after="0" w:line="240" w:lineRule="auto"/>
      </w:pPr>
      <w:r>
        <w:separator/>
      </w:r>
    </w:p>
  </w:footnote>
  <w:footnote w:type="continuationSeparator" w:id="0">
    <w:p w:rsidR="00E41681" w:rsidRDefault="00E41681" w:rsidP="001024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LW_DocType" w:val="NORMAL"/>
  </w:docVars>
  <w:rsids>
    <w:rsidRoot w:val="001B24D9"/>
    <w:rsid w:val="000208B0"/>
    <w:rsid w:val="000212FA"/>
    <w:rsid w:val="00040459"/>
    <w:rsid w:val="00041AAF"/>
    <w:rsid w:val="00046548"/>
    <w:rsid w:val="000643E9"/>
    <w:rsid w:val="00066360"/>
    <w:rsid w:val="000A7591"/>
    <w:rsid w:val="000B16AE"/>
    <w:rsid w:val="001024D9"/>
    <w:rsid w:val="001109D4"/>
    <w:rsid w:val="0013685E"/>
    <w:rsid w:val="0013704E"/>
    <w:rsid w:val="00151D1B"/>
    <w:rsid w:val="001576DE"/>
    <w:rsid w:val="001578B7"/>
    <w:rsid w:val="00177CE9"/>
    <w:rsid w:val="001A020A"/>
    <w:rsid w:val="001B24D9"/>
    <w:rsid w:val="001B3770"/>
    <w:rsid w:val="001B7244"/>
    <w:rsid w:val="001E5E9D"/>
    <w:rsid w:val="001F1ACC"/>
    <w:rsid w:val="002A274E"/>
    <w:rsid w:val="002B2F5F"/>
    <w:rsid w:val="002C2E16"/>
    <w:rsid w:val="00322E4D"/>
    <w:rsid w:val="00364034"/>
    <w:rsid w:val="0038684F"/>
    <w:rsid w:val="003A7593"/>
    <w:rsid w:val="003C15F8"/>
    <w:rsid w:val="003C7A7B"/>
    <w:rsid w:val="003E4156"/>
    <w:rsid w:val="00416BDE"/>
    <w:rsid w:val="004202DD"/>
    <w:rsid w:val="004234FB"/>
    <w:rsid w:val="00453B2E"/>
    <w:rsid w:val="004A4D50"/>
    <w:rsid w:val="004B4CA4"/>
    <w:rsid w:val="004D0CF9"/>
    <w:rsid w:val="004D3EA3"/>
    <w:rsid w:val="004D6E95"/>
    <w:rsid w:val="004E1558"/>
    <w:rsid w:val="00551021"/>
    <w:rsid w:val="005537B0"/>
    <w:rsid w:val="005626FB"/>
    <w:rsid w:val="005B6B77"/>
    <w:rsid w:val="005C1539"/>
    <w:rsid w:val="005D0312"/>
    <w:rsid w:val="005E42DF"/>
    <w:rsid w:val="006072DE"/>
    <w:rsid w:val="00631328"/>
    <w:rsid w:val="0063254D"/>
    <w:rsid w:val="00647858"/>
    <w:rsid w:val="006A3CE6"/>
    <w:rsid w:val="006B4253"/>
    <w:rsid w:val="006C5995"/>
    <w:rsid w:val="006D3863"/>
    <w:rsid w:val="00724076"/>
    <w:rsid w:val="00725925"/>
    <w:rsid w:val="00774299"/>
    <w:rsid w:val="007743D1"/>
    <w:rsid w:val="007B7E3F"/>
    <w:rsid w:val="007E4EEA"/>
    <w:rsid w:val="0080497B"/>
    <w:rsid w:val="00830514"/>
    <w:rsid w:val="00842013"/>
    <w:rsid w:val="00850DA8"/>
    <w:rsid w:val="00851B02"/>
    <w:rsid w:val="008603EA"/>
    <w:rsid w:val="008747B2"/>
    <w:rsid w:val="00886D3F"/>
    <w:rsid w:val="008A14BC"/>
    <w:rsid w:val="008A48F5"/>
    <w:rsid w:val="008A5043"/>
    <w:rsid w:val="008D38E6"/>
    <w:rsid w:val="008F4DBE"/>
    <w:rsid w:val="009273DC"/>
    <w:rsid w:val="00930C8C"/>
    <w:rsid w:val="00944525"/>
    <w:rsid w:val="009652D0"/>
    <w:rsid w:val="00965B3B"/>
    <w:rsid w:val="009F6838"/>
    <w:rsid w:val="009F72B7"/>
    <w:rsid w:val="00A4524A"/>
    <w:rsid w:val="00A624EB"/>
    <w:rsid w:val="00A97403"/>
    <w:rsid w:val="00AA538E"/>
    <w:rsid w:val="00AC5A2D"/>
    <w:rsid w:val="00AF62B8"/>
    <w:rsid w:val="00B21C5E"/>
    <w:rsid w:val="00B472AA"/>
    <w:rsid w:val="00BA645B"/>
    <w:rsid w:val="00BE79EB"/>
    <w:rsid w:val="00BF5247"/>
    <w:rsid w:val="00C108F9"/>
    <w:rsid w:val="00C1252D"/>
    <w:rsid w:val="00C53ACE"/>
    <w:rsid w:val="00C917D7"/>
    <w:rsid w:val="00CB4847"/>
    <w:rsid w:val="00CD6E64"/>
    <w:rsid w:val="00D10880"/>
    <w:rsid w:val="00D21C01"/>
    <w:rsid w:val="00D2570C"/>
    <w:rsid w:val="00D3633C"/>
    <w:rsid w:val="00D86B6D"/>
    <w:rsid w:val="00DE4301"/>
    <w:rsid w:val="00E0790A"/>
    <w:rsid w:val="00E21C24"/>
    <w:rsid w:val="00E304E9"/>
    <w:rsid w:val="00E41681"/>
    <w:rsid w:val="00E54209"/>
    <w:rsid w:val="00E77881"/>
    <w:rsid w:val="00E876D7"/>
    <w:rsid w:val="00E94A34"/>
    <w:rsid w:val="00EA5C2C"/>
    <w:rsid w:val="00EF6388"/>
    <w:rsid w:val="00F02D46"/>
    <w:rsid w:val="00F1528A"/>
    <w:rsid w:val="00F15913"/>
    <w:rsid w:val="00F2789B"/>
    <w:rsid w:val="00FB2046"/>
    <w:rsid w:val="00FC3EAE"/>
    <w:rsid w:val="00FE47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D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2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B24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4D9"/>
    <w:rPr>
      <w:rFonts w:ascii="Tahoma" w:hAnsi="Tahoma" w:cs="Tahoma"/>
      <w:sz w:val="16"/>
      <w:szCs w:val="16"/>
      <w:lang w:val="fr-FR" w:eastAsia="fr-FR"/>
    </w:rPr>
  </w:style>
  <w:style w:type="paragraph" w:styleId="En-tte">
    <w:name w:val="header"/>
    <w:basedOn w:val="Normal"/>
    <w:link w:val="En-tteCar"/>
    <w:uiPriority w:val="99"/>
    <w:rsid w:val="001B24D9"/>
    <w:pPr>
      <w:tabs>
        <w:tab w:val="center" w:pos="4536"/>
        <w:tab w:val="right" w:pos="9072"/>
      </w:tabs>
      <w:spacing w:after="0" w:line="240" w:lineRule="auto"/>
      <w:jc w:val="both"/>
    </w:pPr>
    <w:rPr>
      <w:rFonts w:ascii="Garamond" w:eastAsia="Times New Roman" w:hAnsi="Garamond"/>
      <w:sz w:val="24"/>
      <w:szCs w:val="20"/>
    </w:rPr>
  </w:style>
  <w:style w:type="character" w:customStyle="1" w:styleId="En-tteCar">
    <w:name w:val="En-tête Car"/>
    <w:basedOn w:val="Policepardfaut"/>
    <w:link w:val="En-tte"/>
    <w:uiPriority w:val="99"/>
    <w:rsid w:val="001B24D9"/>
    <w:rPr>
      <w:rFonts w:ascii="Garamond" w:eastAsia="Times New Roman" w:hAnsi="Garamond"/>
      <w:sz w:val="24"/>
      <w:lang w:val="fr-FR" w:eastAsia="fr-FR"/>
    </w:rPr>
  </w:style>
  <w:style w:type="character" w:styleId="Lienhypertexte">
    <w:name w:val="Hyperlink"/>
    <w:uiPriority w:val="99"/>
    <w:unhideWhenUsed/>
    <w:rsid w:val="001B24D9"/>
    <w:rPr>
      <w:color w:val="0000FF"/>
      <w:u w:val="single"/>
    </w:rPr>
  </w:style>
  <w:style w:type="paragraph" w:styleId="Pieddepage">
    <w:name w:val="footer"/>
    <w:basedOn w:val="Normal"/>
    <w:link w:val="PieddepageCar"/>
    <w:uiPriority w:val="99"/>
    <w:unhideWhenUsed/>
    <w:rsid w:val="001024D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024D9"/>
    <w:rPr>
      <w:sz w:val="22"/>
      <w:szCs w:val="22"/>
      <w:lang w:val="fr-FR" w:eastAsia="fr-FR"/>
    </w:rPr>
  </w:style>
  <w:style w:type="character" w:styleId="Marquedecommentaire">
    <w:name w:val="annotation reference"/>
    <w:basedOn w:val="Policepardfaut"/>
    <w:uiPriority w:val="99"/>
    <w:semiHidden/>
    <w:unhideWhenUsed/>
    <w:rsid w:val="001024D9"/>
    <w:rPr>
      <w:sz w:val="16"/>
      <w:szCs w:val="16"/>
    </w:rPr>
  </w:style>
  <w:style w:type="paragraph" w:styleId="Commentaire">
    <w:name w:val="annotation text"/>
    <w:basedOn w:val="Normal"/>
    <w:link w:val="CommentaireCar"/>
    <w:uiPriority w:val="99"/>
    <w:semiHidden/>
    <w:unhideWhenUsed/>
    <w:rsid w:val="001024D9"/>
    <w:pPr>
      <w:spacing w:line="240" w:lineRule="auto"/>
    </w:pPr>
    <w:rPr>
      <w:sz w:val="20"/>
      <w:szCs w:val="20"/>
    </w:rPr>
  </w:style>
  <w:style w:type="character" w:customStyle="1" w:styleId="CommentaireCar">
    <w:name w:val="Commentaire Car"/>
    <w:basedOn w:val="Policepardfaut"/>
    <w:link w:val="Commentaire"/>
    <w:uiPriority w:val="99"/>
    <w:semiHidden/>
    <w:rsid w:val="001024D9"/>
    <w:rPr>
      <w:lang w:val="fr-FR" w:eastAsia="fr-FR"/>
    </w:rPr>
  </w:style>
  <w:style w:type="paragraph" w:styleId="Objetducommentaire">
    <w:name w:val="annotation subject"/>
    <w:basedOn w:val="Commentaire"/>
    <w:next w:val="Commentaire"/>
    <w:link w:val="ObjetducommentaireCar"/>
    <w:uiPriority w:val="99"/>
    <w:semiHidden/>
    <w:unhideWhenUsed/>
    <w:rsid w:val="001024D9"/>
    <w:rPr>
      <w:b/>
      <w:bCs/>
    </w:rPr>
  </w:style>
  <w:style w:type="character" w:customStyle="1" w:styleId="ObjetducommentaireCar">
    <w:name w:val="Objet du commentaire Car"/>
    <w:basedOn w:val="CommentaireCar"/>
    <w:link w:val="Objetducommentaire"/>
    <w:uiPriority w:val="99"/>
    <w:semiHidden/>
    <w:rsid w:val="001024D9"/>
    <w:rPr>
      <w:b/>
      <w:bCs/>
      <w:lang w:val="fr-FR" w:eastAsia="fr-FR"/>
    </w:rPr>
  </w:style>
</w:styles>
</file>

<file path=word/webSettings.xml><?xml version="1.0" encoding="utf-8"?>
<w:webSettings xmlns:r="http://schemas.openxmlformats.org/officeDocument/2006/relationships" xmlns:w="http://schemas.openxmlformats.org/wordprocessingml/2006/main">
  <w:divs>
    <w:div w:id="704453126">
      <w:bodyDiv w:val="1"/>
      <w:marLeft w:val="0"/>
      <w:marRight w:val="0"/>
      <w:marTop w:val="0"/>
      <w:marBottom w:val="0"/>
      <w:divBdr>
        <w:top w:val="none" w:sz="0" w:space="0" w:color="auto"/>
        <w:left w:val="none" w:sz="0" w:space="0" w:color="auto"/>
        <w:bottom w:val="none" w:sz="0" w:space="0" w:color="auto"/>
        <w:right w:val="none" w:sz="0" w:space="0" w:color="auto"/>
      </w:divBdr>
    </w:div>
    <w:div w:id="7812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fanta.diane@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ouattara2@imf.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iam.camara@mef.gov.gn" TargetMode="External"/><Relationship Id="rId5" Type="http://schemas.openxmlformats.org/officeDocument/2006/relationships/footnotes" Target="footnotes.xml"/><Relationship Id="rId15" Type="http://schemas.openxmlformats.org/officeDocument/2006/relationships/image" Target="media/image6.tif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yperlink" Target="mailto:simon.bouteloup@eea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66F14-DC43-46BD-88F8-17655115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4644</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gredinou</dc:creator>
  <cp:lastModifiedBy>gredinou</cp:lastModifiedBy>
  <cp:revision>2</cp:revision>
  <dcterms:created xsi:type="dcterms:W3CDTF">2021-02-26T14:15:00Z</dcterms:created>
  <dcterms:modified xsi:type="dcterms:W3CDTF">2021-02-26T14:15:00Z</dcterms:modified>
</cp:coreProperties>
</file>